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27A8B"/>
          <w:sz w:val="18"/>
        </w:rPr>
        <w:t>THG-ENT-SOP-003  ·  Executing &amp; Controlling  ·  Cross-Functional</w:t>
      </w:r>
    </w:p>
    <w:p>
      <w:r>
        <w:rPr>
          <w:b/>
          <w:color w:val="0F2A4A"/>
          <w:sz w:val="44"/>
        </w:rPr>
        <w:t>Standard Operating Procedure — Change Control</w:t>
      </w:r>
    </w:p>
    <w:p>
      <w:r>
        <w:rPr>
          <w:i/>
          <w:color w:val="555B66"/>
          <w:sz w:val="21"/>
        </w:rPr>
        <w:t>Defines how changes to baselined scope, schedule, cost, quality, or controlled documents are requested, assessed, approved, implemented, and verified.</w:t>
      </w:r>
    </w:p>
    <w:p>
      <w:pPr>
        <w:spacing w:before="40" w:after="160"/>
        <w:pBdr>
          <w:bottom w:val="single" w:sz="12" w:color="127A8B"/>
        </w:pBdr>
      </w:pPr>
    </w:p>
    <w:p>
      <w:pPr>
        <w:pStyle w:val="Heading1"/>
      </w:pPr>
      <w:r>
        <w:t>A.  Document Control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Document ID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THG-ENT-SOP-003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Version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Status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BASELINE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Effective Date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YYYY-MM-DD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Document Owner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PMO Director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Approver / Signatory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Chief Operating Officer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Review Cycle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Annual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Classification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Confidential – Internal</w:t>
            </w:r>
          </w:p>
        </w:tc>
      </w:tr>
    </w:tbl>
    <w:p>
      <w:pPr>
        <w:pStyle w:val="Heading1"/>
      </w:pPr>
      <w:r>
        <w:t>B.  Intake Linkage</w:t>
      </w:r>
    </w:p>
    <w:p>
      <w:r>
        <w:rPr>
          <w:i/>
          <w:color w:val="555B66"/>
          <w:sz w:val="21"/>
        </w:rPr>
        <w:t>Links this document to the originating cross-departmental request. Maintains traceability from intake to closure.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Intake ID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«auto-assigned at intake»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Originating Request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«linked Intake Form ID»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Triggering Department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Operations / PMO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Lifecycle Phase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Executing</w:t>
            </w:r>
          </w:p>
        </w:tc>
      </w:tr>
      <w:tr>
        <w:tc>
          <w:tcPr>
            <w:tcW w:type="dxa" w:w="2880"/>
            <w:shd w:val="clear" w:color="auto" w:fill="EEF2F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b/>
                <w:color w:val="0F2A4A"/>
                <w:sz w:val="19"/>
              </w:rPr>
              <w:t>Linked Charter / Workstream</w:t>
            </w:r>
          </w:p>
        </w:tc>
        <w:tc>
          <w:tcPr>
            <w:tcW w:type="dxa" w:w="64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20"/>
              </w:rPr>
              <w:t>«Project / Program / Workstream reference»</w:t>
            </w:r>
          </w:p>
        </w:tc>
      </w:tr>
    </w:tbl>
    <w:p>
      <w:pPr>
        <w:pStyle w:val="Heading1"/>
      </w:pPr>
      <w:r>
        <w:t>C.  Cross-Functional RACI Footprint</w:t>
      </w:r>
    </w:p>
    <w:p>
      <w:r>
        <w:rPr>
          <w:i/>
          <w:color w:val="555B66"/>
          <w:sz w:val="21"/>
        </w:rPr>
        <w:t>How each department engages with this document. R = Responsible, A = Accountable, C = Consulted, I = Informed. Leave blank if not engaged.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Department</w:t>
            </w:r>
          </w:p>
        </w:tc>
        <w:tc>
          <w:tcPr>
            <w:tcW w:type="dxa" w:w="129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60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Specific Touchpoint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Clinical / Medical Affairs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Regulatory / Quality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R&amp;D / Engineering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Operations / PMO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Finance / Procurement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Commercial / Marketing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IT / Data / Security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  <w:tr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HR / People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</w:t>
            </w:r>
          </w:p>
        </w:tc>
        <w:tc>
          <w:tcPr>
            <w:tcW w:type="dxa" w:w="46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«activity, decision, or artifact»</w:t>
            </w:r>
          </w:p>
        </w:tc>
      </w:tr>
    </w:tbl>
    <w:p>
      <w:pPr>
        <w:pStyle w:val="Heading1"/>
      </w:pPr>
      <w:r>
        <w:t>D.  Compliance &amp; Traceability</w:t>
      </w:r>
    </w:p>
    <w:p>
      <w:r>
        <w:rPr>
          <w:i/>
          <w:color w:val="555B66"/>
          <w:sz w:val="21"/>
        </w:rPr>
        <w:t>Regulatory and methodological frames that govern this artifact. Cite specific clauses where they apply.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Frame</w:t>
            </w:r>
          </w:p>
        </w:tc>
        <w:tc>
          <w:tcPr>
            <w:tcW w:type="dxa" w:w="331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Applies To</w:t>
            </w:r>
          </w:p>
        </w:tc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Evidence / Reference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FDA 21 CFR Part 11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«which sections of this doc»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«audit evidence, SOP, link»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HIPAA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«which sections of this doc»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«audit evidence, SOP, link»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PMBOK 7th Ed.</w:t>
            </w:r>
          </w:p>
        </w:tc>
        <w:tc>
          <w:tcPr>
            <w:tcW w:type="dxa" w:w="33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«which sections of this doc»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«audit evidence, SOP, link»</w:t>
            </w:r>
          </w:p>
        </w:tc>
      </w:tr>
    </w:tbl>
    <w:p>
      <w:pPr>
        <w:pStyle w:val="Heading1"/>
      </w:pPr>
      <w:r>
        <w:t>1.  Purpose</w:t>
      </w:r>
    </w:p>
    <w:p>
      <w:r>
        <w:rPr>
          <w:i w:val="0"/>
          <w:sz w:val="21"/>
        </w:rPr>
        <w:t>To ensure no baselined scope, schedule, cost, quality criterion, or controlled document is changed without documented impact assessment, the right level of approval, verified implementation, and updates to every dependent artifact.</w:t>
      </w:r>
    </w:p>
    <w:p>
      <w:pPr>
        <w:pStyle w:val="Heading1"/>
      </w:pPr>
      <w:r>
        <w:t>2.  Scope</w:t>
      </w:r>
    </w:p>
    <w:p>
      <w:pPr>
        <w:pStyle w:val="Heading2"/>
      </w:pPr>
      <w:r>
        <w:t>In scope</w:t>
      </w:r>
    </w:p>
    <w:p>
      <w:pPr>
        <w:pStyle w:val="ListBullet"/>
      </w:pPr>
      <w:r>
        <w:rPr>
          <w:sz w:val="21"/>
        </w:rPr>
        <w:t>Any change to a baselined PMBOK artifact (charter, scope, schedule, budget, quality criteria).</w:t>
      </w:r>
    </w:p>
    <w:p>
      <w:pPr>
        <w:pStyle w:val="ListBullet"/>
      </w:pPr>
      <w:r>
        <w:rPr>
          <w:sz w:val="21"/>
        </w:rPr>
        <w:t>Any revision to a controlled document under SOP-001 beyond Class A (minor).</w:t>
      </w:r>
    </w:p>
    <w:p>
      <w:pPr>
        <w:pStyle w:val="ListBullet"/>
      </w:pPr>
      <w:r>
        <w:rPr>
          <w:sz w:val="21"/>
        </w:rPr>
        <w:t>Changes to validated systems or to PHI handling that affect a baselined record.</w:t>
      </w:r>
    </w:p>
    <w:p>
      <w:pPr>
        <w:pStyle w:val="Heading2"/>
      </w:pPr>
      <w:r>
        <w:t>Out of scope</w:t>
      </w:r>
    </w:p>
    <w:p>
      <w:pPr>
        <w:pStyle w:val="ListBullet"/>
      </w:pPr>
      <w:r>
        <w:rPr>
          <w:sz w:val="21"/>
        </w:rPr>
        <w:t>Changes to drafts that have not yet been baselined.</w:t>
      </w:r>
    </w:p>
    <w:p>
      <w:pPr>
        <w:pStyle w:val="ListBullet"/>
      </w:pPr>
      <w:r>
        <w:rPr>
          <w:sz w:val="21"/>
        </w:rPr>
        <w:t>Operational corrections within an approved tolerance band defined in the PM Plan.</w:t>
      </w:r>
    </w:p>
    <w:p>
      <w:pPr>
        <w:pStyle w:val="Heading1"/>
      </w:pPr>
      <w:r>
        <w:t>3.  Definitions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type="dxa" w:w="691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Definition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Change Request (CR)</w:t>
            </w:r>
          </w:p>
        </w:tc>
        <w:tc>
          <w:tcPr>
            <w:tcW w:type="dxa" w:w="69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Form proposing a change; one per change. Identifier C-NNN.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Class A change</w:t>
            </w:r>
          </w:p>
        </w:tc>
        <w:tc>
          <w:tcPr>
            <w:tcW w:type="dxa" w:w="69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Minor — no impact on meaning, controls, or scope.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Class B change</w:t>
            </w:r>
          </w:p>
        </w:tc>
        <w:tc>
          <w:tcPr>
            <w:tcW w:type="dxa" w:w="69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Substantive — wording or process change without compliance impact.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Class C change</w:t>
            </w:r>
          </w:p>
        </w:tc>
        <w:tc>
          <w:tcPr>
            <w:tcW w:type="dxa" w:w="69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Controlling — change to controls, scope, or compliance frame.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Verification</w:t>
            </w:r>
          </w:p>
        </w:tc>
        <w:tc>
          <w:tcPr>
            <w:tcW w:type="dxa" w:w="69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Confirmation that the implemented change behaves as approved.</w:t>
            </w:r>
          </w:p>
        </w:tc>
      </w:tr>
      <w:tr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Linked artifacts</w:t>
            </w:r>
          </w:p>
        </w:tc>
        <w:tc>
          <w:tcPr>
            <w:tcW w:type="dxa" w:w="691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All documents and registers updated to reflect the approved change.</w:t>
            </w:r>
          </w:p>
        </w:tc>
      </w:tr>
    </w:tbl>
    <w:p>
      <w:pPr>
        <w:pStyle w:val="Heading1"/>
      </w:pPr>
      <w:r>
        <w:t>4.  Roles &amp; Responsibilities</w:t>
      </w:r>
    </w:p>
    <w:p>
      <w:r>
        <w:rPr>
          <w:i/>
          <w:color w:val="555B66"/>
          <w:sz w:val="21"/>
        </w:rPr>
        <w:t>These role assignments are binding under this SOP. They tighten — never loosen — the enterprise baseline in THG-ENT-RAC-001.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662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Responsibility under this SOP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Requester</w:t>
            </w:r>
          </w:p>
        </w:tc>
        <w:tc>
          <w:tcPr>
            <w:tcW w:type="dxa" w:w="66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Submits the Change Request with rationale and initial impact estimate.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Project Manager</w:t>
            </w:r>
          </w:p>
        </w:tc>
        <w:tc>
          <w:tcPr>
            <w:tcW w:type="dxa" w:w="66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Logs and classifies; coordinates impact assessment.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Impact Assessors</w:t>
            </w:r>
          </w:p>
        </w:tc>
        <w:tc>
          <w:tcPr>
            <w:tcW w:type="dxa" w:w="66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Each affected department's lead provides scope/schedule/cost/quality impact.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Change Approver</w:t>
            </w:r>
          </w:p>
        </w:tc>
        <w:tc>
          <w:tcPr>
            <w:tcW w:type="dxa" w:w="66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Approves, rejects, or defers per the Approval Matrix.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Implementer</w:t>
            </w:r>
          </w:p>
        </w:tc>
        <w:tc>
          <w:tcPr>
            <w:tcW w:type="dxa" w:w="66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Executes the approved change and reports verification.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Quality / Regulatory</w:t>
            </w:r>
          </w:p>
        </w:tc>
        <w:tc>
          <w:tcPr>
            <w:tcW w:type="dxa" w:w="66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Confirms compliance impact assessment for Class C changes.</w:t>
            </w:r>
          </w:p>
        </w:tc>
      </w:tr>
    </w:tbl>
    <w:p>
      <w:pPr>
        <w:pStyle w:val="Heading1"/>
      </w:pPr>
      <w:r>
        <w:t>5.  Procedure</w:t>
      </w:r>
    </w:p>
    <w:p>
      <w:r>
        <w:rPr>
          <w:i/>
          <w:color w:val="555B66"/>
          <w:sz w:val="21"/>
        </w:rPr>
        <w:t>The procedure below is mandatory. Deviations require a documented justification and follow §9 (Deviations &amp; CAPA).</w:t>
      </w:r>
    </w:p>
    <w:p>
      <w:pPr>
        <w:pStyle w:val="Heading2"/>
      </w:pPr>
      <w:r>
        <w:t>5.1  Submit Change Request</w:t>
      </w:r>
    </w:p>
    <w:p>
      <w:r>
        <w:rPr>
          <w:b/>
          <w:color w:val="0F2A4A"/>
          <w:sz w:val="19"/>
        </w:rPr>
        <w:t xml:space="preserve">Performed by:  </w:t>
      </w:r>
      <w:r>
        <w:rPr>
          <w:sz w:val="19"/>
        </w:rPr>
        <w:t>Requester</w:t>
      </w:r>
    </w:p>
    <w:p>
      <w:pPr>
        <w:pStyle w:val="ListBullet"/>
      </w:pPr>
      <w:r>
        <w:rPr>
          <w:sz w:val="21"/>
        </w:rPr>
        <w:t>Open a Change Request on the Change Log template (THG-OPS-CHG-NNN).</w:t>
      </w:r>
    </w:p>
    <w:p>
      <w:pPr>
        <w:pStyle w:val="ListBullet"/>
      </w:pPr>
      <w:r>
        <w:rPr>
          <w:sz w:val="21"/>
        </w:rPr>
        <w:t>Reference the Intake ID and the baselined artifacts affected.</w:t>
      </w:r>
    </w:p>
    <w:p>
      <w:pPr>
        <w:pStyle w:val="ListBullet"/>
      </w:pPr>
      <w:r>
        <w:rPr>
          <w:sz w:val="21"/>
        </w:rPr>
        <w:t>State the change, the reason, and the impact if not approved.</w:t>
      </w:r>
    </w:p>
    <w:p>
      <w:r>
        <w:rPr>
          <w:b/>
          <w:color w:val="127A8B"/>
          <w:sz w:val="19"/>
        </w:rPr>
        <w:t xml:space="preserve">Evidence recorded:  </w:t>
      </w:r>
      <w:r>
        <w:rPr>
          <w:i/>
          <w:sz w:val="19"/>
        </w:rPr>
        <w:t>CR row created in Change Log; status = PENDING.</w:t>
      </w:r>
    </w:p>
    <w:p>
      <w:pPr>
        <w:pStyle w:val="Heading2"/>
      </w:pPr>
      <w:r>
        <w:t>5.2  Log &amp; classify</w:t>
      </w:r>
    </w:p>
    <w:p>
      <w:r>
        <w:rPr>
          <w:b/>
          <w:color w:val="0F2A4A"/>
          <w:sz w:val="19"/>
        </w:rPr>
        <w:t xml:space="preserve">Performed by:  </w:t>
      </w:r>
      <w:r>
        <w:rPr>
          <w:sz w:val="19"/>
        </w:rPr>
        <w:t>Project Manager</w:t>
      </w:r>
    </w:p>
    <w:p>
      <w:pPr>
        <w:pStyle w:val="ListBullet"/>
      </w:pPr>
      <w:r>
        <w:rPr>
          <w:sz w:val="21"/>
        </w:rPr>
        <w:t>Assign Change ID (C-NNN).</w:t>
      </w:r>
    </w:p>
    <w:p>
      <w:pPr>
        <w:pStyle w:val="ListBullet"/>
      </w:pPr>
      <w:r>
        <w:rPr>
          <w:sz w:val="21"/>
        </w:rPr>
        <w:t>Classify A / B / C using the Approval Matrix.</w:t>
      </w:r>
    </w:p>
    <w:p>
      <w:r>
        <w:rPr>
          <w:b/>
          <w:color w:val="127A8B"/>
          <w:sz w:val="19"/>
        </w:rPr>
        <w:t xml:space="preserve">Evidence recorded:  </w:t>
      </w:r>
      <w:r>
        <w:rPr>
          <w:i/>
          <w:sz w:val="19"/>
        </w:rPr>
        <w:t>Class recorded in Change Log.</w:t>
      </w:r>
    </w:p>
    <w:p>
      <w:pPr>
        <w:pStyle w:val="Heading2"/>
      </w:pPr>
      <w:r>
        <w:t>5.3  Impact assessment</w:t>
      </w:r>
    </w:p>
    <w:p>
      <w:r>
        <w:rPr>
          <w:b/>
          <w:color w:val="0F2A4A"/>
          <w:sz w:val="19"/>
        </w:rPr>
        <w:t xml:space="preserve">Performed by:  </w:t>
      </w:r>
      <w:r>
        <w:rPr>
          <w:sz w:val="19"/>
        </w:rPr>
        <w:t>Impact Assessors (affected departments)</w:t>
      </w:r>
    </w:p>
    <w:p>
      <w:pPr>
        <w:pStyle w:val="ListBullet"/>
      </w:pPr>
      <w:r>
        <w:rPr>
          <w:sz w:val="21"/>
        </w:rPr>
        <w:t>Each affected department lead returns scope / schedule / cost / quality impact within 5 business days.</w:t>
      </w:r>
    </w:p>
    <w:p>
      <w:pPr>
        <w:pStyle w:val="ListBullet"/>
      </w:pPr>
      <w:r>
        <w:rPr>
          <w:sz w:val="21"/>
        </w:rPr>
        <w:t>Quality / Regulatory provides a compliance impact statement for Class C.</w:t>
      </w:r>
    </w:p>
    <w:p>
      <w:r>
        <w:rPr>
          <w:b/>
          <w:color w:val="127A8B"/>
          <w:sz w:val="19"/>
        </w:rPr>
        <w:t xml:space="preserve">Evidence recorded:  </w:t>
      </w:r>
      <w:r>
        <w:rPr>
          <w:i/>
          <w:sz w:val="19"/>
        </w:rPr>
        <w:t>Impact statements attached to the CR record.</w:t>
      </w:r>
    </w:p>
    <w:p>
      <w:pPr>
        <w:pStyle w:val="Heading2"/>
      </w:pPr>
      <w:r>
        <w:t>5.4  Approval decision</w:t>
      </w:r>
    </w:p>
    <w:p>
      <w:r>
        <w:rPr>
          <w:b/>
          <w:color w:val="0F2A4A"/>
          <w:sz w:val="19"/>
        </w:rPr>
        <w:t xml:space="preserve">Performed by:  </w:t>
      </w:r>
      <w:r>
        <w:rPr>
          <w:sz w:val="19"/>
        </w:rPr>
        <w:t>Change Approver</w:t>
      </w:r>
    </w:p>
    <w:p>
      <w:pPr>
        <w:pStyle w:val="ListBullet"/>
      </w:pPr>
      <w:r>
        <w:rPr>
          <w:sz w:val="21"/>
        </w:rPr>
        <w:t>Approve, reject, or defer with documented rationale.</w:t>
      </w:r>
    </w:p>
    <w:p>
      <w:pPr>
        <w:pStyle w:val="ListBullet"/>
      </w:pPr>
      <w:r>
        <w:rPr>
          <w:sz w:val="21"/>
        </w:rPr>
        <w:t>Class C approvals require Quality / Regulatory co-signature.</w:t>
      </w:r>
    </w:p>
    <w:p>
      <w:r>
        <w:rPr>
          <w:b/>
          <w:color w:val="127A8B"/>
          <w:sz w:val="19"/>
        </w:rPr>
        <w:t xml:space="preserve">Evidence recorded:  </w:t>
      </w:r>
      <w:r>
        <w:rPr>
          <w:i/>
          <w:sz w:val="19"/>
        </w:rPr>
        <w:t>Decision recorded in Change Log with Approver name and date.</w:t>
      </w:r>
    </w:p>
    <w:p>
      <w:pPr>
        <w:pStyle w:val="Heading2"/>
      </w:pPr>
      <w:r>
        <w:t>5.5  Implement</w:t>
      </w:r>
    </w:p>
    <w:p>
      <w:r>
        <w:rPr>
          <w:b/>
          <w:color w:val="0F2A4A"/>
          <w:sz w:val="19"/>
        </w:rPr>
        <w:t xml:space="preserve">Performed by:  </w:t>
      </w:r>
      <w:r>
        <w:rPr>
          <w:sz w:val="19"/>
        </w:rPr>
        <w:t>Implementer</w:t>
      </w:r>
    </w:p>
    <w:p>
      <w:pPr>
        <w:pStyle w:val="ListBullet"/>
      </w:pPr>
      <w:r>
        <w:rPr>
          <w:sz w:val="21"/>
        </w:rPr>
        <w:t>Execute the approved change.</w:t>
      </w:r>
    </w:p>
    <w:p>
      <w:pPr>
        <w:pStyle w:val="ListBullet"/>
      </w:pPr>
      <w:r>
        <w:rPr>
          <w:sz w:val="21"/>
        </w:rPr>
        <w:t>Update every linked artifact (versions incremented per SOP-001).</w:t>
      </w:r>
    </w:p>
    <w:p>
      <w:r>
        <w:rPr>
          <w:b/>
          <w:color w:val="127A8B"/>
          <w:sz w:val="19"/>
        </w:rPr>
        <w:t xml:space="preserve">Evidence recorded:  </w:t>
      </w:r>
      <w:r>
        <w:rPr>
          <w:i/>
          <w:sz w:val="19"/>
        </w:rPr>
        <w:t>Updated artifacts published; Master Index reflects new versions.</w:t>
      </w:r>
    </w:p>
    <w:p>
      <w:pPr>
        <w:pStyle w:val="Heading2"/>
      </w:pPr>
      <w:r>
        <w:t>5.6  Verify</w:t>
      </w:r>
    </w:p>
    <w:p>
      <w:r>
        <w:rPr>
          <w:b/>
          <w:color w:val="0F2A4A"/>
          <w:sz w:val="19"/>
        </w:rPr>
        <w:t xml:space="preserve">Performed by:  </w:t>
      </w:r>
      <w:r>
        <w:rPr>
          <w:sz w:val="19"/>
        </w:rPr>
        <w:t>Project Manager</w:t>
      </w:r>
    </w:p>
    <w:p>
      <w:pPr>
        <w:pStyle w:val="ListBullet"/>
      </w:pPr>
      <w:r>
        <w:rPr>
          <w:sz w:val="21"/>
        </w:rPr>
        <w:t>Confirm the implemented change matches the approved description.</w:t>
      </w:r>
    </w:p>
    <w:p>
      <w:pPr>
        <w:pStyle w:val="ListBullet"/>
      </w:pPr>
      <w:r>
        <w:rPr>
          <w:sz w:val="21"/>
        </w:rPr>
        <w:t>Confirm all linked artifacts are updated.</w:t>
      </w:r>
    </w:p>
    <w:p>
      <w:r>
        <w:rPr>
          <w:b/>
          <w:color w:val="127A8B"/>
          <w:sz w:val="19"/>
        </w:rPr>
        <w:t xml:space="preserve">Evidence recorded:  </w:t>
      </w:r>
      <w:r>
        <w:rPr>
          <w:i/>
          <w:sz w:val="19"/>
        </w:rPr>
        <w:t>Verification attestation in Change Log.</w:t>
      </w:r>
    </w:p>
    <w:p>
      <w:pPr>
        <w:pStyle w:val="Heading2"/>
      </w:pPr>
      <w:r>
        <w:t>5.7  Close</w:t>
      </w:r>
    </w:p>
    <w:p>
      <w:r>
        <w:rPr>
          <w:b/>
          <w:color w:val="0F2A4A"/>
          <w:sz w:val="19"/>
        </w:rPr>
        <w:t xml:space="preserve">Performed by:  </w:t>
      </w:r>
      <w:r>
        <w:rPr>
          <w:sz w:val="19"/>
        </w:rPr>
        <w:t>Project Manager</w:t>
      </w:r>
    </w:p>
    <w:p>
      <w:pPr>
        <w:pStyle w:val="ListBullet"/>
      </w:pPr>
      <w:r>
        <w:rPr>
          <w:sz w:val="21"/>
        </w:rPr>
        <w:t>Update Change Log status to CLOSED.</w:t>
      </w:r>
    </w:p>
    <w:p>
      <w:pPr>
        <w:pStyle w:val="ListBullet"/>
      </w:pPr>
      <w:r>
        <w:rPr>
          <w:sz w:val="21"/>
        </w:rPr>
        <w:t>Notify stakeholders per the Communications Plan.</w:t>
      </w:r>
    </w:p>
    <w:p>
      <w:r>
        <w:rPr>
          <w:b/>
          <w:color w:val="127A8B"/>
          <w:sz w:val="19"/>
        </w:rPr>
        <w:t xml:space="preserve">Evidence recorded:  </w:t>
      </w:r>
      <w:r>
        <w:rPr>
          <w:i/>
          <w:sz w:val="19"/>
        </w:rPr>
        <w:t>Change Log CLOSED; notification archived.</w:t>
      </w:r>
    </w:p>
    <w:p>
      <w:pPr>
        <w:pStyle w:val="Heading1"/>
      </w:pPr>
      <w:r>
        <w:t>6.  Process Flowchart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5851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p003_change_contro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5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Figure 1.  Change request to verified implementation across affected departments.</w:t>
      </w:r>
    </w:p>
    <w:p>
      <w:pPr>
        <w:pStyle w:val="Heading1"/>
      </w:pPr>
      <w:r>
        <w:t>7.  Decision Authority / Approval Matrix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Decision class</w:t>
            </w:r>
          </w:p>
        </w:tc>
        <w:tc>
          <w:tcPr>
            <w:tcW w:type="dxa" w:w="360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Threshold / criteria</w:t>
            </w:r>
          </w:p>
        </w:tc>
        <w:tc>
          <w:tcPr>
            <w:tcW w:type="dxa" w:w="230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Approval authority</w:t>
            </w:r>
          </w:p>
        </w:tc>
        <w:tc>
          <w:tcPr>
            <w:tcW w:type="dxa" w:w="129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Records location</w:t>
            </w:r>
          </w:p>
        </w:tc>
      </w:tr>
      <w:tr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Class A — minor</w:t>
            </w:r>
          </w:p>
        </w:tc>
        <w:tc>
          <w:tcPr>
            <w:tcW w:type="dxa" w:w="360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No impact on meaning, controls, or scope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Document Owner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Doc Z-3</w:t>
            </w:r>
          </w:p>
        </w:tc>
      </w:tr>
      <w:tr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Class B — substantive</w:t>
            </w:r>
          </w:p>
        </w:tc>
        <w:tc>
          <w:tcPr>
            <w:tcW w:type="dxa" w:w="360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No compliance impact; ≤10% schedule or budget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Project Manager + Sponsor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Change Log</w:t>
            </w:r>
          </w:p>
        </w:tc>
      </w:tr>
      <w:tr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Class C — controlling</w:t>
            </w:r>
          </w:p>
        </w:tc>
        <w:tc>
          <w:tcPr>
            <w:tcW w:type="dxa" w:w="360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Compliance impact OR &gt;10% schedule/budget OR scope change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Sponsor + Quality / Regulatory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Change Log + eQMS</w:t>
            </w:r>
          </w:p>
        </w:tc>
      </w:tr>
      <w:tr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Emergency / Safety</w:t>
            </w:r>
          </w:p>
        </w:tc>
        <w:tc>
          <w:tcPr>
            <w:tcW w:type="dxa" w:w="360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Patient or regulatory exposure</w:t>
            </w:r>
          </w:p>
        </w:tc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Quality Director (notify within 24h)</w:t>
            </w:r>
          </w:p>
        </w:tc>
        <w:tc>
          <w:tcPr>
            <w:tcW w:type="dxa" w:w="129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eQMS</w:t>
            </w:r>
          </w:p>
        </w:tc>
      </w:tr>
    </w:tbl>
    <w:p>
      <w:pPr>
        <w:pStyle w:val="Heading1"/>
      </w:pPr>
      <w:r>
        <w:t>8.  KPIs &amp; Monitoring</w:t>
      </w:r>
    </w:p>
    <w:p>
      <w:r>
        <w:rPr>
          <w:i/>
          <w:color w:val="555B66"/>
          <w:sz w:val="21"/>
        </w:rPr>
        <w:t>Process owner reports the following KPIs to the Quality Council on the stated cadence.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KPI</w:t>
            </w:r>
          </w:p>
        </w:tc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216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Cadence</w:t>
            </w:r>
          </w:p>
        </w:tc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Impact assessment SLA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≤5 business days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Change Log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Per CR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PMO Director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CR cycle time (open→close)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≤15 business days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Change Log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Monthly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PMO Director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CRs implemented without verification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Audit spot-check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Quarterly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Quality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Linked-artifact update completeness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100%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Audit spot-check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Quarterly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Quality</w:t>
            </w:r>
          </w:p>
        </w:tc>
      </w:tr>
    </w:tbl>
    <w:p>
      <w:pPr>
        <w:pStyle w:val="Heading1"/>
      </w:pPr>
      <w:r>
        <w:t>9.  Deviations, Nonconformities &amp; CAPA</w:t>
      </w:r>
    </w:p>
    <w:p>
      <w:r>
        <w:rPr>
          <w:i w:val="0"/>
          <w:sz w:val="21"/>
        </w:rPr>
        <w:t>Any deviation from this procedure shall be documented at the time of occurrence. The Document Owner evaluates each deviation for severity and may open a Corrective and Preventive Action (CAPA) record in the eQMS. Repeat deviations require root-cause analysis and SOP revision.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360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Definition</w:t>
            </w:r>
          </w:p>
        </w:tc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Required action</w:t>
            </w:r>
          </w:p>
        </w:tc>
        <w:tc>
          <w:tcPr>
            <w:tcW w:type="dxa" w:w="201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Minor</w:t>
            </w:r>
          </w:p>
        </w:tc>
        <w:tc>
          <w:tcPr>
            <w:tcW w:type="dxa" w:w="360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Isolated, no impact on record integrity or compliance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Log in deviation log; corrective action by next review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Document Owner</w:t>
            </w:r>
          </w:p>
        </w:tc>
      </w:tr>
      <w:tr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Major</w:t>
            </w:r>
          </w:p>
        </w:tc>
        <w:tc>
          <w:tcPr>
            <w:tcW w:type="dxa" w:w="360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Impact on record integrity, traceability, or stakeholder trust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Open CAPA; root-cause within 14 days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Quality Lead</w:t>
            </w:r>
          </w:p>
        </w:tc>
      </w:tr>
      <w:tr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Critical</w:t>
            </w:r>
          </w:p>
        </w:tc>
        <w:tc>
          <w:tcPr>
            <w:tcW w:type="dxa" w:w="360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Impact on regulatory submission, patient safety, or audit findings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Open CAPA immediately; notify Sponsor and Regulatory within 24 hours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Quality / Regulatory Director</w:t>
            </w:r>
          </w:p>
        </w:tc>
      </w:tr>
    </w:tbl>
    <w:p>
      <w:pPr>
        <w:pStyle w:val="Heading1"/>
      </w:pPr>
      <w:r>
        <w:t>10.  Training Requirements</w:t>
      </w:r>
    </w:p>
    <w:p>
      <w:r>
        <w:rPr>
          <w:i w:val="0"/>
          <w:sz w:val="21"/>
        </w:rPr>
        <w:t>Personnel performing work under this SOP shall complete the training listed below before performing controlled activities, and again whenever a major revision is issued.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30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Audience</w:t>
            </w:r>
          </w:p>
        </w:tc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Training content</w:t>
            </w:r>
          </w:p>
        </w:tc>
        <w:tc>
          <w:tcPr>
            <w:tcW w:type="dxa" w:w="216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Comprehension check</w:t>
            </w:r>
          </w:p>
        </w:tc>
        <w:tc>
          <w:tcPr>
            <w:tcW w:type="dxa" w:w="172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Refresh cadence</w:t>
            </w:r>
          </w:p>
        </w:tc>
        <w:tc>
          <w:tcPr>
            <w:tcW w:type="dxa" w:w="172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Evidence</w:t>
            </w:r>
          </w:p>
        </w:tc>
      </w:tr>
      <w:tr>
        <w:tc>
          <w:tcPr>
            <w:tcW w:type="dxa" w:w="230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Project Managers, Change Approvers, Department Leads serving as Impact Assessors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Read this SOP; review the linked Standards Guide block where referenced</w:t>
            </w:r>
          </w:p>
        </w:tc>
        <w:tc>
          <w:tcPr>
            <w:tcW w:type="dxa" w:w="216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Short comprehension quiz (≥80% pass)</w:t>
            </w:r>
          </w:p>
        </w:tc>
        <w:tc>
          <w:tcPr>
            <w:tcW w:type="dxa" w:w="172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Annual or upon major revision</w:t>
            </w:r>
          </w:p>
        </w:tc>
        <w:tc>
          <w:tcPr>
            <w:tcW w:type="dxa" w:w="172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HR / Compliance training records</w:t>
            </w:r>
          </w:p>
        </w:tc>
      </w:tr>
    </w:tbl>
    <w:p>
      <w:pPr>
        <w:pStyle w:val="Heading1"/>
      </w:pPr>
      <w:r>
        <w:t>11.  References &amp; Related Documents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03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Reference</w:t>
            </w:r>
          </w:p>
        </w:tc>
        <w:tc>
          <w:tcPr>
            <w:tcW w:type="dxa" w:w="547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Relationship</w:t>
            </w:r>
          </w:p>
        </w:tc>
      </w:tr>
      <w:tr>
        <w:tc>
          <w:tcPr>
            <w:tcW w:type="dxa" w:w="403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THG-OPS-CHG-NNN — Change Log &amp; Change Request</w:t>
            </w:r>
          </w:p>
        </w:tc>
        <w:tc>
          <w:tcPr>
            <w:tcW w:type="dxa" w:w="54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The instrument this SOP operates on.</w:t>
            </w:r>
          </w:p>
        </w:tc>
      </w:tr>
      <w:tr>
        <w:tc>
          <w:tcPr>
            <w:tcW w:type="dxa" w:w="403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SOP-001 — Document Control</w:t>
            </w:r>
          </w:p>
        </w:tc>
        <w:tc>
          <w:tcPr>
            <w:tcW w:type="dxa" w:w="54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Governs version updates after change.</w:t>
            </w:r>
          </w:p>
        </w:tc>
      </w:tr>
      <w:tr>
        <w:tc>
          <w:tcPr>
            <w:tcW w:type="dxa" w:w="403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SOP-004 — Records Management</w:t>
            </w:r>
          </w:p>
        </w:tc>
        <w:tc>
          <w:tcPr>
            <w:tcW w:type="dxa" w:w="54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Governs retention of CR records.</w:t>
            </w:r>
          </w:p>
        </w:tc>
      </w:tr>
      <w:tr>
        <w:tc>
          <w:tcPr>
            <w:tcW w:type="dxa" w:w="403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21 CFR Part 11 §11.10(e), §11.10(k)</w:t>
            </w:r>
          </w:p>
        </w:tc>
        <w:tc>
          <w:tcPr>
            <w:tcW w:type="dxa" w:w="54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Audit trail and access controls.</w:t>
            </w:r>
          </w:p>
        </w:tc>
      </w:tr>
      <w:tr>
        <w:tc>
          <w:tcPr>
            <w:tcW w:type="dxa" w:w="403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ISO 13485 §7.3.9</w:t>
            </w:r>
          </w:p>
        </w:tc>
        <w:tc>
          <w:tcPr>
            <w:tcW w:type="dxa" w:w="54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Control of design changes.</w:t>
            </w:r>
          </w:p>
        </w:tc>
      </w:tr>
    </w:tbl>
    <w:p>
      <w:pPr>
        <w:pStyle w:val="Heading1"/>
      </w:pPr>
      <w:r>
        <w:t>12.  Records &amp; Retention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02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Record</w:t>
            </w:r>
          </w:p>
        </w:tc>
        <w:tc>
          <w:tcPr>
            <w:tcW w:type="dxa" w:w="259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System of record</w:t>
            </w:r>
          </w:p>
        </w:tc>
        <w:tc>
          <w:tcPr>
            <w:tcW w:type="dxa" w:w="201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Retention</w:t>
            </w:r>
          </w:p>
        </w:tc>
        <w:tc>
          <w:tcPr>
            <w:tcW w:type="dxa" w:w="187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Disposition</w:t>
            </w:r>
          </w:p>
        </w:tc>
      </w:tr>
      <w:tr>
        <w:tc>
          <w:tcPr>
            <w:tcW w:type="dxa" w:w="30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Change Requests (open + closed)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Change Log + eQMS for Class C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7 years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Archive</w:t>
            </w:r>
          </w:p>
        </w:tc>
      </w:tr>
      <w:tr>
        <w:tc>
          <w:tcPr>
            <w:tcW w:type="dxa" w:w="30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Impact assessments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Change Log attachments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7 years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Archive</w:t>
            </w:r>
          </w:p>
        </w:tc>
      </w:tr>
      <w:tr>
        <w:tc>
          <w:tcPr>
            <w:tcW w:type="dxa" w:w="302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Verification attestations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Change Log</w:t>
            </w:r>
          </w:p>
        </w:tc>
        <w:tc>
          <w:tcPr>
            <w:tcW w:type="dxa" w:w="201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7 years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Archive</w:t>
            </w:r>
          </w:p>
        </w:tc>
      </w:tr>
    </w:tbl>
    <w:p>
      <w:pPr>
        <w:pStyle w:val="Heading1"/>
      </w:pPr>
      <w:r>
        <w:t>Z-1.  Handoffs &amp; Downstream Artifacts</w:t>
      </w:r>
    </w:p>
    <w:p>
      <w:r>
        <w:rPr>
          <w:i/>
          <w:color w:val="555B66"/>
          <w:sz w:val="21"/>
        </w:rPr>
        <w:t>Predecessors and successors in the integrated document lifecycle.</w:t>
      </w:r>
    </w:p>
    <w:p>
      <w:pPr>
        <w:pStyle w:val="Heading2"/>
      </w:pPr>
      <w:r>
        <w:t>Receives input from</w:t>
      </w:r>
    </w:p>
    <w:p>
      <w:pPr>
        <w:pStyle w:val="ListBullet"/>
      </w:pPr>
      <w:r>
        <w:rPr>
          <w:sz w:val="21"/>
        </w:rPr>
        <w:t>Project Management Plan, Baselined artifacts being changed</w:t>
      </w:r>
    </w:p>
    <w:p>
      <w:pPr>
        <w:pStyle w:val="ListBullet"/>
      </w:pPr>
      <w:r>
        <w:rPr>
          <w:sz w:val="21"/>
        </w:rPr>
        <w:t>Intake Log linkage</w:t>
      </w:r>
    </w:p>
    <w:p>
      <w:pPr>
        <w:pStyle w:val="Heading2"/>
      </w:pPr>
      <w:r>
        <w:t>Feeds into</w:t>
      </w:r>
    </w:p>
    <w:p>
      <w:pPr>
        <w:pStyle w:val="ListBullet"/>
      </w:pPr>
      <w:r>
        <w:rPr>
          <w:sz w:val="21"/>
        </w:rPr>
        <w:t>Updated linked artifacts; Status Reports; Lessons Learned.</w:t>
      </w:r>
    </w:p>
    <w:p>
      <w:pPr>
        <w:pStyle w:val="Heading1"/>
      </w:pPr>
      <w:r>
        <w:t>Z-2.  Approval Signatures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59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4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Chief Operating Officer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PMO Director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288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Quality / Regulatory Director</w:t>
            </w:r>
          </w:p>
        </w:tc>
        <w:tc>
          <w:tcPr>
            <w:tcW w:type="dxa" w:w="259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244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</w:tr>
    </w:tbl>
    <w:p>
      <w:pPr>
        <w:pStyle w:val="Heading1"/>
      </w:pPr>
      <w:r>
        <w:t>Z-3.  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008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1584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1872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3456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Summary of Change</w:t>
            </w:r>
          </w:p>
        </w:tc>
        <w:tc>
          <w:tcPr>
            <w:tcW w:type="dxa" w:w="1440"/>
            <w:shd w:val="clear" w:color="auto" w:fill="0F2A4A"/>
            <w:tcBorders>
              <w:top w:val="single" w:sz="4" w:color="0F2A4A"/>
              <w:left w:val="single" w:sz="4" w:color="0F2A4A"/>
              <w:bottom w:val="single" w:sz="4" w:color="0F2A4A"/>
              <w:right w:val="single" w:sz="4" w:color="0F2A4A"/>
            </w:tcBorders>
          </w:tcPr>
          <w:p>
            <w:r/>
            <w:r>
              <w:rPr>
                <w:b/>
                <w:color w:val="FFFFFF"/>
                <w:sz w:val="19"/>
              </w:rPr>
              <w:t>Approved By</w:t>
            </w:r>
          </w:p>
        </w:tc>
      </w:tr>
      <w:tr>
        <w:tc>
          <w:tcPr>
            <w:tcW w:type="dxa" w:w="10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0.1</w:t>
            </w:r>
          </w:p>
        </w:tc>
        <w:tc>
          <w:tcPr>
            <w:tcW w:type="dxa" w:w="158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YYYY-MM-DD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«author»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  <w:t>Initial draft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008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1584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YYYY-MM-DD</w:t>
            </w:r>
          </w:p>
        </w:tc>
        <w:tc>
          <w:tcPr>
            <w:tcW w:type="dxa" w:w="1872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«author»</w:t>
            </w:r>
          </w:p>
        </w:tc>
        <w:tc>
          <w:tcPr>
            <w:tcW w:type="dxa" w:w="3456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  <w:t>Approved baseline</w:t>
            </w:r>
          </w:p>
        </w:tc>
        <w:tc>
          <w:tcPr>
            <w:tcW w:type="dxa" w:w="1440"/>
            <w:tcBorders>
              <w:top w:val="single" w:sz="4" w:color="BFC6CF"/>
              <w:left w:val="single" w:sz="4" w:color="BFC6CF"/>
              <w:bottom w:val="single" w:sz="4" w:color="BFC6CF"/>
              <w:right w:val="single" w:sz="4" w:color="BFC6CF"/>
            </w:tcBorders>
            <w:shd w:val="clear" w:color="auto" w:fill="F6F8FB"/>
          </w:tcPr>
          <w:p>
            <w:r/>
            <w:r>
              <w:rPr>
                <w:sz w:val="19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B66"/>
        <w:sz w:val="16"/>
      </w:rPr>
      <w:t xml:space="preserve">Confidential – Theragen Internal  ·  Controlled Document  ·  Page </w:t>
    </w:r>
    <w:fldSimple w:instr="PAGE">
      <w:r>
        <w:t>1</w:t>
      </w:r>
    </w:fldSimple>
    <w:r>
      <w:rPr>
        <w:color w:val="555B66"/>
        <w:sz w:val="16"/>
      </w:rPr>
      <w:t xml:space="preserve"> of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autofit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r/>
          <w:r>
            <w:rPr>
              <w:b/>
              <w:color w:val="0F2A4A"/>
              <w:sz w:val="22"/>
            </w:rPr>
            <w:t>THERAGEN</w:t>
          </w:r>
          <w:r>
            <w:rPr>
              <w:sz w:val="18"/>
            </w:rPr>
            <w:t xml:space="preserve">   |   OPERATIONS / PMO  ·  CONTROLLED PROCEDURE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color w:val="555B66"/>
              <w:sz w:val="18"/>
            </w:rPr>
            <w:t>Integrated Documentation System  v1.0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  <w:rFonts w:ascii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2A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2A4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