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7A8B"/>
          <w:sz w:val="18"/>
        </w:rPr>
        <w:t>THG-ENT-SOP-004  ·  Cross-Lifecycle  ·  Records Lifecycle</w:t>
      </w:r>
    </w:p>
    <w:p>
      <w:r>
        <w:rPr>
          <w:b/>
          <w:color w:val="0F2A4A"/>
          <w:sz w:val="44"/>
        </w:rPr>
        <w:t>Standard Operating Procedure — Records Management &amp; Audit Readiness</w:t>
      </w:r>
    </w:p>
    <w:p>
      <w:r>
        <w:rPr>
          <w:i/>
          <w:color w:val="555B66"/>
          <w:sz w:val="21"/>
        </w:rPr>
        <w:t>Defines how Theragen records are created, indexed, stored with access controls, retrieved, packaged for audit, and disposed of at end of retention.</w:t>
      </w:r>
    </w:p>
    <w:p>
      <w:pPr>
        <w:spacing w:before="40" w:after="160"/>
        <w:pBdr>
          <w:bottom w:val="single" w:sz="12" w:color="127A8B"/>
        </w:pBdr>
      </w:pPr>
    </w:p>
    <w:p>
      <w:pPr>
        <w:pStyle w:val="Heading1"/>
      </w:pPr>
      <w:r>
        <w:t>A.  Document Control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THG-ENT-SOP-004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Version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Status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Effective Date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YYYY-MM-DD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Owner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Quality / Regulatory Director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Approver / Signatory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Chief Operating Officer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Review Cycle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Classification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Confidential – Internal</w:t>
            </w:r>
          </w:p>
        </w:tc>
      </w:tr>
    </w:tbl>
    <w:p>
      <w:pPr>
        <w:pStyle w:val="Heading1"/>
      </w:pPr>
      <w:r>
        <w:t>B.  Intake Linkage</w:t>
      </w:r>
    </w:p>
    <w:p>
      <w:r>
        <w:rPr>
          <w:i/>
          <w:color w:val="555B66"/>
          <w:sz w:val="21"/>
        </w:rPr>
        <w:t>Links this document to the originating cross-departmental request. Maintains traceability from intake to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Intake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«auto-assigned at intake»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Originating Request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«linked Intake Form ID»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Triggering Department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Regulatory / Quality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Lifecycle Phase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N/A — Governance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Linked Charter / Workstream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«Project / Program / Workstream reference»</w:t>
            </w:r>
          </w:p>
        </w:tc>
      </w:tr>
    </w:tbl>
    <w:p>
      <w:pPr>
        <w:pStyle w:val="Heading1"/>
      </w:pPr>
      <w:r>
        <w:t>C.  Cross-Functional RACI Footprint</w:t>
      </w:r>
    </w:p>
    <w:p>
      <w:r>
        <w:rPr>
          <w:i/>
          <w:color w:val="555B66"/>
          <w:sz w:val="21"/>
        </w:rPr>
        <w:t>How each department engages with this document. R = Responsible, A = Accountable, C = Consulted, I = Informed. Leave blank if not engaged.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6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Specific Touchpoint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Clinical / Medical Affairs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Regulatory / Quality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R&amp;D / Engineering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Operations / PMO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Finance / Procurement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Commercial / Marketing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IT / Data / Security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 / People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</w:tbl>
    <w:p>
      <w:pPr>
        <w:pStyle w:val="Heading1"/>
      </w:pPr>
      <w:r>
        <w:t>D.  Compliance &amp; Traceability</w:t>
      </w:r>
    </w:p>
    <w:p>
      <w:r>
        <w:rPr>
          <w:i/>
          <w:color w:val="555B66"/>
          <w:sz w:val="21"/>
        </w:rPr>
        <w:t>Regulatory and methodological frames that govern this artifact. Cite specific clauses where they apply.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Frame</w:t>
            </w:r>
          </w:p>
        </w:tc>
        <w:tc>
          <w:tcPr>
            <w:tcW w:type="dxa" w:w="33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Applies To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Evidence / Reference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FDA 21 CFR Part 11 §11.10, §11.50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HIPAA Privacy &amp; Security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ISO 13485 §4.2.5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GxP retention guidance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PMBOK 7th Ed.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</w:tbl>
    <w:p>
      <w:pPr>
        <w:pStyle w:val="Heading1"/>
      </w:pPr>
      <w:r>
        <w:t>1.  Purpose</w:t>
      </w:r>
    </w:p>
    <w:p>
      <w:r>
        <w:rPr>
          <w:i w:val="0"/>
          <w:sz w:val="21"/>
        </w:rPr>
        <w:t>To ensure every Theragen record is created in a controlled manner, retained for the required period in the appropriate system of record, retrievable for audit on demand, and disposed of at end-of-life with documented authority.</w:t>
      </w:r>
    </w:p>
    <w:p>
      <w:pPr>
        <w:pStyle w:val="Heading1"/>
      </w:pPr>
      <w:r>
        <w:t>2.  Scope</w:t>
      </w:r>
    </w:p>
    <w:p>
      <w:pPr>
        <w:pStyle w:val="Heading2"/>
      </w:pPr>
      <w:r>
        <w:t>In scope</w:t>
      </w:r>
    </w:p>
    <w:p>
      <w:pPr>
        <w:pStyle w:val="ListBullet"/>
      </w:pPr>
      <w:r>
        <w:rPr>
          <w:sz w:val="21"/>
        </w:rPr>
        <w:t>All controlled documents and project records produced under the Standards Guide.</w:t>
      </w:r>
    </w:p>
    <w:p>
      <w:pPr>
        <w:pStyle w:val="ListBullet"/>
      </w:pPr>
      <w:r>
        <w:rPr>
          <w:sz w:val="21"/>
        </w:rPr>
        <w:t>Clinical, quality, and regulatory records in eTMF and eQMS.</w:t>
      </w:r>
    </w:p>
    <w:p>
      <w:pPr>
        <w:pStyle w:val="ListBullet"/>
      </w:pPr>
      <w:r>
        <w:rPr>
          <w:sz w:val="21"/>
        </w:rPr>
        <w:t>Electronic signatures and audit trails under 21 CFR Part 11.</w:t>
      </w:r>
    </w:p>
    <w:p>
      <w:pPr>
        <w:pStyle w:val="ListBullet"/>
      </w:pPr>
      <w:r>
        <w:rPr>
          <w:sz w:val="21"/>
        </w:rPr>
        <w:t>PHI-containing records under HIPAA.</w:t>
      </w:r>
    </w:p>
    <w:p>
      <w:pPr>
        <w:pStyle w:val="Heading2"/>
      </w:pPr>
      <w:r>
        <w:t>Out of scope</w:t>
      </w:r>
    </w:p>
    <w:p>
      <w:pPr>
        <w:pStyle w:val="ListBullet"/>
      </w:pPr>
      <w:r>
        <w:rPr>
          <w:sz w:val="21"/>
        </w:rPr>
        <w:t>Transient personal notes that are not declared records.</w:t>
      </w:r>
    </w:p>
    <w:p>
      <w:pPr>
        <w:pStyle w:val="ListBullet"/>
      </w:pPr>
      <w:r>
        <w:rPr>
          <w:sz w:val="21"/>
        </w:rPr>
        <w:t>Marketing collateral that does not constitute a controlled record.</w:t>
      </w:r>
    </w:p>
    <w:p>
      <w:pPr>
        <w:pStyle w:val="Heading1"/>
      </w:pPr>
      <w:r>
        <w:t>3.  Definitions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69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Record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Any information committed to a medium that has evidentiary value.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System of record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The authoritative repository for a given record class.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Retention period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Minimum time a record must be retained before disposition.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Disposition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Archive, transfer, or destruction at end of retention.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Audit evidence pack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Curated set of records assembled to demonstrate compliance for a given audit scope.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E-signature meaning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Per 21 CFR Part 11 §11.50, the meaning (Approval / Review / Authorship) bound to the signed record.</w:t>
            </w:r>
          </w:p>
        </w:tc>
      </w:tr>
    </w:tbl>
    <w:p>
      <w:pPr>
        <w:pStyle w:val="Heading1"/>
      </w:pPr>
      <w:r>
        <w:t>4.  Roles &amp; Responsibilities</w:t>
      </w:r>
    </w:p>
    <w:p>
      <w:r>
        <w:rPr>
          <w:i/>
          <w:color w:val="555B66"/>
          <w:sz w:val="21"/>
        </w:rPr>
        <w:t>These role assignments are binding under this SOP. They tighten — never loosen — the enterprise baseline in THG-ENT-RAC-001.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662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Responsibility under this SOP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Record Creator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Creates the record using the controlled template; ensures metadata is complete.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Document Registrar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Indexes the record in the correct system of record with classification metadata.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Records Steward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Monitors retention; initiates disposition at end of retention.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 / Regulatory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Owns audit evidence packs; primary interface with auditors.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IT / Data / Security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Maintains validated systems of record and audit-trail integrity.</w:t>
            </w:r>
          </w:p>
        </w:tc>
      </w:tr>
    </w:tbl>
    <w:p>
      <w:pPr>
        <w:pStyle w:val="Heading1"/>
      </w:pPr>
      <w:r>
        <w:t>5.  Procedure</w:t>
      </w:r>
    </w:p>
    <w:p>
      <w:r>
        <w:rPr>
          <w:i/>
          <w:color w:val="555B66"/>
          <w:sz w:val="21"/>
        </w:rPr>
        <w:t>The procedure below is mandatory. Deviations require a documented justification and follow §9 (Deviations &amp; CAPA).</w:t>
      </w:r>
    </w:p>
    <w:p>
      <w:pPr>
        <w:pStyle w:val="Heading2"/>
      </w:pPr>
      <w:r>
        <w:t>5.1  Create record using a controlled template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Record Creator</w:t>
      </w:r>
    </w:p>
    <w:p>
      <w:pPr>
        <w:pStyle w:val="ListBullet"/>
      </w:pPr>
      <w:r>
        <w:rPr>
          <w:sz w:val="21"/>
        </w:rPr>
        <w:t>Use the template from the Master Index.</w:t>
      </w:r>
    </w:p>
    <w:p>
      <w:pPr>
        <w:pStyle w:val="ListBullet"/>
      </w:pPr>
      <w:r>
        <w:rPr>
          <w:sz w:val="21"/>
        </w:rPr>
        <w:t>Complete the Document Control block including classification and retention class.</w:t>
      </w:r>
    </w:p>
    <w:p>
      <w:pPr>
        <w:pStyle w:val="ListBullet"/>
      </w:pPr>
      <w:r>
        <w:rPr>
          <w:sz w:val="21"/>
        </w:rPr>
        <w:t>Avoid PHI in records that are not designated for PHI handling.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Record saved to the appropriate working location.</w:t>
      </w:r>
    </w:p>
    <w:p>
      <w:pPr>
        <w:pStyle w:val="Heading2"/>
      </w:pPr>
      <w:r>
        <w:t>5.2  Index and classify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Document Registrar</w:t>
      </w:r>
    </w:p>
    <w:p>
      <w:pPr>
        <w:pStyle w:val="ListBullet"/>
      </w:pPr>
      <w:r>
        <w:rPr>
          <w:sz w:val="21"/>
        </w:rPr>
        <w:t>Validate metadata completeness.</w:t>
      </w:r>
    </w:p>
    <w:p>
      <w:pPr>
        <w:pStyle w:val="ListBullet"/>
      </w:pPr>
      <w:r>
        <w:rPr>
          <w:sz w:val="21"/>
        </w:rPr>
        <w:t>Assign system of record (eQMS, eTMF, PMO SharePoint, HIPAA-controlled store).</w:t>
      </w:r>
    </w:p>
    <w:p>
      <w:pPr>
        <w:pStyle w:val="ListBullet"/>
      </w:pPr>
      <w:r>
        <w:rPr>
          <w:sz w:val="21"/>
        </w:rPr>
        <w:t>Update Master Index entry.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Master Index entry created or updated with system-of-record link.</w:t>
      </w:r>
    </w:p>
    <w:p>
      <w:pPr>
        <w:pStyle w:val="Heading2"/>
      </w:pPr>
      <w:r>
        <w:t>5.3  Store with access controls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IT / Data / Security</w:t>
      </w:r>
    </w:p>
    <w:p>
      <w:pPr>
        <w:pStyle w:val="ListBullet"/>
      </w:pPr>
      <w:r>
        <w:rPr>
          <w:sz w:val="21"/>
        </w:rPr>
        <w:t>Apply role-based access in the system of record.</w:t>
      </w:r>
    </w:p>
    <w:p>
      <w:pPr>
        <w:pStyle w:val="ListBullet"/>
      </w:pPr>
      <w:r>
        <w:rPr>
          <w:sz w:val="21"/>
        </w:rPr>
        <w:t>Confirm the system's audit trail is active for any record subject to 21 CFR Part 11.</w:t>
      </w:r>
    </w:p>
    <w:p>
      <w:pPr>
        <w:pStyle w:val="ListBullet"/>
      </w:pPr>
      <w:r>
        <w:rPr>
          <w:sz w:val="21"/>
        </w:rPr>
        <w:t>Confirm encryption at rest and in transit for PHI records.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Access control list and audit-trail confirmation logged at indexing time.</w:t>
      </w:r>
    </w:p>
    <w:p>
      <w:pPr>
        <w:pStyle w:val="Heading2"/>
      </w:pPr>
      <w:r>
        <w:t>5.4  Retrieve on demand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Quality / Regulatory</w:t>
      </w:r>
    </w:p>
    <w:p>
      <w:pPr>
        <w:pStyle w:val="ListBullet"/>
      </w:pPr>
      <w:r>
        <w:rPr>
          <w:sz w:val="21"/>
        </w:rPr>
        <w:t>For internal review: retrieve via system search; do not export PHI without need-to-know.</w:t>
      </w:r>
    </w:p>
    <w:p>
      <w:pPr>
        <w:pStyle w:val="ListBullet"/>
      </w:pPr>
      <w:r>
        <w:rPr>
          <w:sz w:val="21"/>
        </w:rPr>
        <w:t>For external audit: route via the Audit Evidence Pack procedure (step 5).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Retrieval logged in the system audit trail.</w:t>
      </w:r>
    </w:p>
    <w:p>
      <w:pPr>
        <w:pStyle w:val="Heading2"/>
      </w:pPr>
      <w:r>
        <w:t>5.5  Package audit evidence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Quality / Regulatory</w:t>
      </w:r>
    </w:p>
    <w:p>
      <w:pPr>
        <w:pStyle w:val="ListBullet"/>
      </w:pPr>
      <w:r>
        <w:rPr>
          <w:sz w:val="21"/>
        </w:rPr>
        <w:t>Define audit scope and assemble the evidence pack from systems of record.</w:t>
      </w:r>
    </w:p>
    <w:p>
      <w:pPr>
        <w:pStyle w:val="ListBullet"/>
      </w:pPr>
      <w:r>
        <w:rPr>
          <w:sz w:val="21"/>
        </w:rPr>
        <w:t>Confirm each record carries its retention metadata and approval signatures.</w:t>
      </w:r>
    </w:p>
    <w:p>
      <w:pPr>
        <w:pStyle w:val="ListBullet"/>
      </w:pPr>
      <w:r>
        <w:rPr>
          <w:sz w:val="21"/>
        </w:rPr>
        <w:t>Stage in a controlled audit folder with read-only access for auditors.</w:t>
      </w:r>
    </w:p>
    <w:p>
      <w:pPr>
        <w:pStyle w:val="ListBullet"/>
      </w:pPr>
      <w:r>
        <w:rPr>
          <w:sz w:val="21"/>
        </w:rPr>
        <w:t>Retain the pack for the duration of the audit plus 7 years.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Audit Evidence Pack manifest in eQMS.</w:t>
      </w:r>
    </w:p>
    <w:p>
      <w:pPr>
        <w:pStyle w:val="Heading2"/>
      </w:pPr>
      <w:r>
        <w:t>5.6  Disposition at end of retention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Records Steward</w:t>
      </w:r>
    </w:p>
    <w:p>
      <w:pPr>
        <w:pStyle w:val="ListBullet"/>
      </w:pPr>
      <w:r>
        <w:rPr>
          <w:sz w:val="21"/>
        </w:rPr>
        <w:t>Each year, the Records Steward reviews retention reports.</w:t>
      </w:r>
    </w:p>
    <w:p>
      <w:pPr>
        <w:pStyle w:val="ListBullet"/>
      </w:pPr>
      <w:r>
        <w:rPr>
          <w:sz w:val="21"/>
        </w:rPr>
        <w:t>For records past retention with no hold, disposition per the Retention Schedule below.</w:t>
      </w:r>
    </w:p>
    <w:p>
      <w:pPr>
        <w:pStyle w:val="ListBullet"/>
      </w:pPr>
      <w:r>
        <w:rPr>
          <w:sz w:val="21"/>
        </w:rPr>
        <w:t>Document the disposition decision and method.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Disposition record in eQMS or Records Register.</w:t>
      </w:r>
    </w:p>
    <w:p>
      <w:pPr>
        <w:pStyle w:val="Heading1"/>
      </w:pPr>
      <w:r>
        <w:t>6.  Process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915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004_records_manage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Figure 1.  Records lifecycle — create, index, store with controls, retrieve, audit-pack, dispose.</w:t>
      </w:r>
    </w:p>
    <w:p>
      <w:pPr>
        <w:pStyle w:val="Heading1"/>
      </w:pPr>
      <w:r>
        <w:t>7.  Decision Authority / Approval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Decision class</w:t>
            </w:r>
          </w:p>
        </w:tc>
        <w:tc>
          <w:tcPr>
            <w:tcW w:type="dxa" w:w="360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Threshold / criteria</w:t>
            </w:r>
          </w:p>
        </w:tc>
        <w:tc>
          <w:tcPr>
            <w:tcW w:type="dxa" w:w="230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Approval authority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Records location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Standard disposition (end of retention, no hold)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Past retention, no legal/audit hold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Records Steward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eQMS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Early destruction request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Before end of retention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 + Legal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eQMS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Hold (litigation / audit)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Active hold issued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Legal + Quality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eQMS hold register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Transfer to external custody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Acquisition / divestiture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COO + Legal + Quality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eQMS + Legal</w:t>
            </w:r>
          </w:p>
        </w:tc>
      </w:tr>
    </w:tbl>
    <w:p>
      <w:pPr>
        <w:pStyle w:val="Heading1"/>
      </w:pPr>
      <w:r>
        <w:t>8.  KPIs &amp; Monitoring</w:t>
      </w:r>
    </w:p>
    <w:p>
      <w:r>
        <w:rPr>
          <w:i/>
          <w:color w:val="555B66"/>
          <w:sz w:val="21"/>
        </w:rPr>
        <w:t>Process owner reports the following KPIs to the Quality Council on the stated cadence.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Cadence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Records indexed within 5 business days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≥98%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Index audit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Monthly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Document Registrar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Access-control reviews completed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100%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IT audit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Quarterly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IT / Security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Audit retrieval SLA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≤2 business days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Audit log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Per audit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Records past retention without disposition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Retention report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Quarterly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Records Steward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Audit findings on records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 critical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External audits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Annual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</w:t>
            </w:r>
          </w:p>
        </w:tc>
      </w:tr>
    </w:tbl>
    <w:p>
      <w:pPr>
        <w:pStyle w:val="Heading1"/>
      </w:pPr>
      <w:r>
        <w:t>9.  Deviations, Nonconformities &amp; CAPA</w:t>
      </w:r>
    </w:p>
    <w:p>
      <w:r>
        <w:rPr>
          <w:i w:val="0"/>
          <w:sz w:val="21"/>
        </w:rPr>
        <w:t>Any deviation from this procedure shall be documented at the time of occurrence. The Document Owner evaluates each deviation for severity and may open a Corrective and Preventive Action (CAPA) record in the eQMS. Repeat deviations require root-cause analysis and SOP revision.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360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Required action</w:t>
            </w:r>
          </w:p>
        </w:tc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Minor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Isolated, no impact on record integrity or compliance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Log in deviation log; corrective action by next review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Document Owner</w:t>
            </w:r>
          </w:p>
        </w:tc>
      </w:tr>
      <w:tr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Major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Impact on record integrity, traceability, or stakeholder trust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Open CAPA; root-cause within 14 days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 Lead</w:t>
            </w:r>
          </w:p>
        </w:tc>
      </w:tr>
      <w:tr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Critical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Impact on regulatory submission, patient safety, or audit findings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Open CAPA immediately; notify Sponsor and Regulatory within 24 hours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/ Regulatory Director</w:t>
            </w:r>
          </w:p>
        </w:tc>
      </w:tr>
    </w:tbl>
    <w:p>
      <w:pPr>
        <w:pStyle w:val="Heading1"/>
      </w:pPr>
      <w:r>
        <w:t>10.  Training Requirements</w:t>
      </w:r>
    </w:p>
    <w:p>
      <w:r>
        <w:rPr>
          <w:i w:val="0"/>
          <w:sz w:val="21"/>
        </w:rPr>
        <w:t>Personnel performing work under this SOP shall complete the training listed below before performing controlled activities, and again whenever a major revision is issued.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Training content</w:t>
            </w:r>
          </w:p>
        </w:tc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Comprehension check</w:t>
            </w:r>
          </w:p>
        </w:tc>
        <w:tc>
          <w:tcPr>
            <w:tcW w:type="dxa" w:w="172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Refresh cadence</w:t>
            </w:r>
          </w:p>
        </w:tc>
        <w:tc>
          <w:tcPr>
            <w:tcW w:type="dxa" w:w="172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Record Creators, Document Registrars, Records Stewards, Quality / Regulatory, IT / Security personnel handling records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Read this SOP; review the linked Standards Guide block where referenced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Short comprehension quiz (≥80% pass)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Annual or upon major revision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HR / Compliance training records</w:t>
            </w:r>
          </w:p>
        </w:tc>
      </w:tr>
    </w:tbl>
    <w:p>
      <w:pPr>
        <w:pStyle w:val="Heading1"/>
      </w:pPr>
      <w:r>
        <w:t>11.  References &amp; Related Documents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Reference</w:t>
            </w:r>
          </w:p>
        </w:tc>
        <w:tc>
          <w:tcPr>
            <w:tcW w:type="dxa" w:w="54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Relationship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THG-ENT-STD-001 — Standards Guide §11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Storage, Access &amp; Retention table.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THG-ENT-IDX-001 — Master Document Index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System-of-record links.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SOP-001 — Document Control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Governs the documents that become records.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21 CFR Part 11 §11.10, §11.50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Electronic records and signature meaning.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HIPAA 45 CFR §164.530(j)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6-year minimum retention for designated records.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ISO 13485 §4.2.5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Control of records.</w:t>
            </w:r>
          </w:p>
        </w:tc>
      </w:tr>
    </w:tbl>
    <w:p>
      <w:pPr>
        <w:pStyle w:val="Heading2"/>
      </w:pPr>
      <w:r>
        <w:t>12.1  Retention schedule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Record class</w:t>
            </w:r>
          </w:p>
        </w:tc>
        <w:tc>
          <w:tcPr>
            <w:tcW w:type="dxa" w:w="244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System of record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Retention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artifacts</w:t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 SharePoint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Life of project + 7 yrs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Includes Charter, plans, registers, reports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Change records</w:t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PMO + eQMS (Class C)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Life of asset + 7 yrs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Class C in eQMS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Clinical records</w:t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eTMF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Per regulatory hold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Hold periods may exceed 25 years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 records</w:t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eQMS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Per ISO 13485 retention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Records of training, audits, CAPA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PHI-containing records</w:t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HIPAA-controlled store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6 years minimum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Longer per state law where applicable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Financial records</w:t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ERP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7 years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IRS / tax baseline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HR records</w:t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HRIS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Per HR retention policy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Includes training attestations under SOP-005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Audit evidence packs</w:t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eQMS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Audit + 7 yrs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Read-only after audit close</w:t>
            </w:r>
          </w:p>
        </w:tc>
      </w:tr>
    </w:tbl>
    <w:p>
      <w:pPr>
        <w:pStyle w:val="Heading1"/>
      </w:pPr>
      <w:r>
        <w:t>12.  Records &amp; Retention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Record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System of record</w:t>
            </w:r>
          </w:p>
        </w:tc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Retention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Disposition</w:t>
            </w:r>
          </w:p>
        </w:tc>
      </w:tr>
      <w:tr>
        <w:tc>
          <w:tcPr>
            <w:tcW w:type="dxa" w:w="30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Records register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eQMS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Life of organization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Active master record</w:t>
            </w:r>
          </w:p>
        </w:tc>
      </w:tr>
      <w:tr>
        <w:tc>
          <w:tcPr>
            <w:tcW w:type="dxa" w:w="30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Disposition decisions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eQMS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Life of organization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Active master record</w:t>
            </w:r>
          </w:p>
        </w:tc>
      </w:tr>
      <w:tr>
        <w:tc>
          <w:tcPr>
            <w:tcW w:type="dxa" w:w="30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Audit Evidence Packs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eQMS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Audit + 7 yrs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Archive then destroy</w:t>
            </w:r>
          </w:p>
        </w:tc>
      </w:tr>
      <w:tr>
        <w:tc>
          <w:tcPr>
            <w:tcW w:type="dxa" w:w="30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Access-control review logs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IT Security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7 yrs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Archive</w:t>
            </w:r>
          </w:p>
        </w:tc>
      </w:tr>
    </w:tbl>
    <w:p>
      <w:pPr>
        <w:pStyle w:val="Heading1"/>
      </w:pPr>
      <w:r>
        <w:t>Z-1.  Handoffs &amp; Downstream Artifacts</w:t>
      </w:r>
    </w:p>
    <w:p>
      <w:r>
        <w:rPr>
          <w:i/>
          <w:color w:val="555B66"/>
          <w:sz w:val="21"/>
        </w:rPr>
        <w:t>Predecessors and successors in the integrated document lifecycle.</w:t>
      </w:r>
    </w:p>
    <w:p>
      <w:pPr>
        <w:pStyle w:val="Heading2"/>
      </w:pPr>
      <w:r>
        <w:t>Receives input from</w:t>
      </w:r>
    </w:p>
    <w:p>
      <w:pPr>
        <w:pStyle w:val="ListBullet"/>
      </w:pPr>
      <w:r>
        <w:rPr>
          <w:sz w:val="21"/>
        </w:rPr>
        <w:t>SOP-001 (Document Control); SOP-003 (Change Control)</w:t>
      </w:r>
    </w:p>
    <w:p>
      <w:pPr>
        <w:pStyle w:val="Heading2"/>
      </w:pPr>
      <w:r>
        <w:t>Feeds into</w:t>
      </w:r>
    </w:p>
    <w:p>
      <w:pPr>
        <w:pStyle w:val="ListBullet"/>
      </w:pPr>
      <w:r>
        <w:rPr>
          <w:sz w:val="21"/>
        </w:rPr>
        <w:t>Audits; Inspections; Regulatory submissions; Legal holds.</w:t>
      </w:r>
    </w:p>
    <w:p>
      <w:pPr>
        <w:pStyle w:val="Heading1"/>
      </w:pPr>
      <w:r>
        <w:t>Z-2.  Approval 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4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Chief Operating Officer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 / Regulatory Director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Information Security Officer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Legal Counsel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Z-3.  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58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Summary of Change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Approved By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Initial draft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Approved baseline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 xml:space="preserve">Confidential – Theragen Internal  ·  Controlled Document  ·  Page </w:t>
    </w:r>
    <w:fldSimple w:instr="PAGE">
      <w:r>
        <w:t>1</w:t>
      </w:r>
    </w:fldSimple>
    <w:r>
      <w:rPr>
        <w:color w:val="555B66"/>
        <w:sz w:val="16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/>
          <w:r>
            <w:rPr>
              <w:b/>
              <w:color w:val="0F2A4A"/>
              <w:sz w:val="22"/>
            </w:rPr>
            <w:t>THERAGEN</w:t>
          </w:r>
          <w:r>
            <w:rPr>
              <w:sz w:val="18"/>
            </w:rPr>
            <w:t xml:space="preserve">   |   REGULATORY / QUALITY  ·  CONTROLLED PROCEDURE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color w:val="555B66"/>
              <w:sz w:val="18"/>
            </w:rPr>
            <w:t>Integrated Documentation System 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