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THG-STD-001  ·  Cross-Lifecycle  ·  Applies to All Artifacts</w:t>
      </w:r>
    </w:p>
    <w:p>
      <w:r>
        <w:rPr>
          <w:b/>
          <w:color w:val="0F2A4A"/>
          <w:sz w:val="44"/>
        </w:rPr>
        <w:t>Documentation Standards Guide</w:t>
      </w:r>
    </w:p>
    <w:p>
      <w:r>
        <w:rPr>
          <w:i/>
          <w:color w:val="555B66"/>
          <w:sz w:val="21"/>
        </w:rPr>
        <w:t>The single source of truth for how every Theragen project, clinical, regulatory, and operational document is structured, versioned, and integrated across departments.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THG-STD-001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PMO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(governing document)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Documentation Standardization Initiative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Operations / PMO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N/A — Governance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 &amp; Scope</w:t>
      </w:r>
    </w:p>
    <w:p>
      <w:r>
        <w:rPr>
          <w:i w:val="0"/>
          <w:sz w:val="21"/>
        </w:rPr>
        <w:t>This standard defines the structure, conventions, and integration rules for every document produced across Theragen. It exists so that any team — Clinical, Regulatory, R&amp;D, Operations, Finance, Commercial, IT, or HR — can locate a record, understand who owns it, and trace it back to the request that initiated the work and forward to the deliverables it produced.</w:t>
      </w:r>
    </w:p>
    <w:p>
      <w:pPr>
        <w:pStyle w:val="Heading2"/>
      </w:pPr>
      <w:r>
        <w:t>Applies to</w:t>
      </w:r>
    </w:p>
    <w:p>
      <w:pPr>
        <w:pStyle w:val="ListBullet"/>
      </w:pPr>
      <w:r>
        <w:rPr>
          <w:sz w:val="21"/>
        </w:rPr>
        <w:t>All project management artifacts (charter, plans, registers, reports).</w:t>
      </w:r>
    </w:p>
    <w:p>
      <w:pPr>
        <w:pStyle w:val="ListBullet"/>
      </w:pPr>
      <w:r>
        <w:rPr>
          <w:sz w:val="21"/>
        </w:rPr>
        <w:t>Clinical and regulatory documentation that interfaces with project delivery.</w:t>
      </w:r>
    </w:p>
    <w:p>
      <w:pPr>
        <w:pStyle w:val="ListBullet"/>
      </w:pPr>
      <w:r>
        <w:rPr>
          <w:sz w:val="21"/>
        </w:rPr>
        <w:t>Cross-functional intake, change, and lessons-learned records.</w:t>
      </w:r>
    </w:p>
    <w:p>
      <w:pPr>
        <w:pStyle w:val="ListBullet"/>
      </w:pPr>
      <w:r>
        <w:rPr>
          <w:sz w:val="21"/>
        </w:rPr>
        <w:t>Templates published by the PMO for use by other departments.</w:t>
      </w:r>
    </w:p>
    <w:p>
      <w:pPr>
        <w:pStyle w:val="Heading2"/>
      </w:pPr>
      <w:r>
        <w:t>Does not replace</w:t>
      </w:r>
    </w:p>
    <w:p>
      <w:pPr>
        <w:pStyle w:val="ListBullet"/>
      </w:pPr>
      <w:r>
        <w:rPr>
          <w:sz w:val="21"/>
        </w:rPr>
        <w:t>Department-specific SOPs governed by Quality/Regulatory under ISO 13485 or GxP — those remain authoritative.</w:t>
      </w:r>
    </w:p>
    <w:p>
      <w:pPr>
        <w:pStyle w:val="ListBullet"/>
      </w:pPr>
      <w:r>
        <w:rPr>
          <w:sz w:val="21"/>
        </w:rPr>
        <w:t>Validated system records of authority (eTMF, EDC, ERP, eQMS).</w:t>
      </w:r>
    </w:p>
    <w:p>
      <w:pPr>
        <w:pStyle w:val="Heading1"/>
      </w:pPr>
      <w:r>
        <w:t>2.  Documentation Principles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73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60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What it means in practice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One front door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Every document begins with the same control, intake, RACI, and compliance blocks.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Traceability by default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Each artifact carries an Intake ID and lifecycle phase. Nothing exists in isolation.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Cross-functional by design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Every doc declares which departments are Responsible, Accountable, Consulted, or Informed.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Versions, not files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Documents are versioned, not renamed. The Revision History is the source of truth.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Plain language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Sentence case, active voice, no acronyms without a glossary entry.</w:t>
            </w:r>
          </w:p>
        </w:tc>
      </w:tr>
      <w:tr>
        <w:tc>
          <w:tcPr>
            <w:tcW w:type="dxa" w:w="57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Audit-ready</w:t>
            </w:r>
          </w:p>
        </w:tc>
        <w:tc>
          <w:tcPr>
            <w:tcW w:type="dxa" w:w="60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Every document maps to its applicable regulatory frame (21 CFR Part 11, HIPAA, GxP, PMBOK).</w:t>
            </w:r>
          </w:p>
        </w:tc>
      </w:tr>
    </w:tbl>
    <w:p>
      <w:pPr>
        <w:pStyle w:val="Heading1"/>
      </w:pPr>
      <w:r>
        <w:t>3.  Standard Document Anatomy</w:t>
      </w:r>
    </w:p>
    <w:p>
      <w:r>
        <w:rPr>
          <w:i/>
          <w:color w:val="555B66"/>
          <w:sz w:val="21"/>
        </w:rPr>
        <w:t>Every artifact — regardless of department or lifecycle phase — uses the same nine-block structure. Blocks A–D and Z-1 through Z-3 are fixed; sections 1–N are unique to the document type.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Required?</w:t>
            </w:r>
          </w:p>
        </w:tc>
        <w:tc>
          <w:tcPr>
            <w:tcW w:type="dxa" w:w="374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Header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Branded letterhead + doc ID + version chip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Instant identification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Title block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 ID · phase · title · 1-line subtitle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Orient the reader in 5 seconds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Control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Owner, approver, status, classification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Linkage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Trace back to originating request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Cross-Functional RACI Footprint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Who plays what role on this doc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Compliance &amp; Traceability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Applicable frames and clauses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1…N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Body sections (doc-specific)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The substantive content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Z-1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Handoffs &amp; Downstream Artifacts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What this doc feeds into and from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Z-2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Approval Signatures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Conditional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Required for baselined docs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Z-3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Revision History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74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Versioned changelog</w:t>
            </w:r>
          </w:p>
        </w:tc>
      </w:tr>
    </w:tbl>
    <w:p>
      <w:pPr>
        <w:pStyle w:val="Heading1"/>
      </w:pPr>
      <w:r>
        <w:t>4.  Naming &amp; Identifier Conventions</w:t>
      </w:r>
    </w:p>
    <w:p>
      <w:pPr>
        <w:pStyle w:val="Heading2"/>
      </w:pPr>
      <w:r>
        <w:t>4.1  Document IDs</w:t>
      </w:r>
    </w:p>
    <w:p>
      <w:r>
        <w:rPr>
          <w:i w:val="0"/>
          <w:sz w:val="21"/>
        </w:rPr>
        <w:t>All documents carry a structured ID:  THG-{DEPT}-{TYPE}-{NNN}  (e.g., THG-OPS-CHR-001 = PMO Charter #001).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 code</w:t>
            </w:r>
          </w:p>
        </w:tc>
        <w:tc>
          <w:tcPr>
            <w:tcW w:type="dxa" w:w="748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CLN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RND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OPS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</w:tr>
      <w:tr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ENT</w:t>
            </w:r>
          </w:p>
        </w:tc>
        <w:tc>
          <w:tcPr>
            <w:tcW w:type="dxa" w:w="748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Enterprise / Governance</w:t>
            </w:r>
          </w:p>
        </w:tc>
      </w:tr>
    </w:tbl>
    <w:p>
      <w:pPr>
        <w:pStyle w:val="Heading2"/>
      </w:pPr>
      <w:r>
        <w:t>4.2  Document type codes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57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CHR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Charter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STK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 Register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SCP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Scope Statement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WBD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WBS Dictionary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SCH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Schedule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BUD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Budget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PMP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Management Plan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RSK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Risk Register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Communications Plan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QLP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Plan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CHG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Log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Status Report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LLN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Lessons Learned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Integrated Intake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RAC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RACI Matrix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STD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Standard / Governance</w:t>
            </w:r>
          </w:p>
        </w:tc>
      </w:tr>
      <w:tr>
        <w:tc>
          <w:tcPr>
            <w:tcW w:type="dxa" w:w="115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IDX</w:t>
            </w:r>
          </w:p>
        </w:tc>
        <w:tc>
          <w:tcPr>
            <w:tcW w:type="dxa" w:w="57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Master Index</w:t>
            </w:r>
          </w:p>
        </w:tc>
      </w:tr>
    </w:tbl>
    <w:p>
      <w:pPr>
        <w:pStyle w:val="Heading2"/>
      </w:pPr>
      <w:r>
        <w:t>4.3  File naming</w:t>
      </w:r>
    </w:p>
    <w:p>
      <w:r>
        <w:rPr>
          <w:i/>
          <w:sz w:val="21"/>
        </w:rPr>
        <w:t>File names mirror the Document ID:  {DocID}_{Title-Words}_v{Version}.{ext}  → THG-OPS-CHR-014_Cardio-Device-Launch_v1.0.docx</w:t>
      </w:r>
    </w:p>
    <w:p>
      <w:pPr>
        <w:pStyle w:val="Heading1"/>
      </w:pPr>
      <w:r>
        <w:t>5.  Versioning, Status &amp;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 pattern</w:t>
            </w:r>
          </w:p>
        </w:tc>
      </w:tr>
      <w:tr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DRAFT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Work in progress; not yet circulated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0.x</w:t>
            </w:r>
          </w:p>
        </w:tc>
      </w:tr>
      <w:tr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REVIEW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for stakeholder review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0.x</w:t>
            </w:r>
          </w:p>
        </w:tc>
      </w:tr>
      <w:tr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BASELINE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Approved; changes require Change Request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1.0, 2.0, …</w:t>
            </w:r>
          </w:p>
        </w:tc>
      </w:tr>
      <w:tr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AMENDED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revision since last baseline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1.1, 1.2, …</w:t>
            </w:r>
          </w:p>
        </w:tc>
      </w:tr>
      <w:tr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RETIRED</w:t>
            </w:r>
          </w:p>
        </w:tc>
        <w:tc>
          <w:tcPr>
            <w:tcW w:type="dxa" w:w="48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Superseded; retained for audit only</w:t>
            </w:r>
          </w:p>
        </w:tc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previous + RETIRED</w:t>
            </w:r>
          </w:p>
        </w:tc>
      </w:tr>
    </w:tbl>
    <w:p>
      <w:r>
        <w:rPr>
          <w:i w:val="0"/>
          <w:sz w:val="21"/>
        </w:rPr>
        <w:t>Review cycle defaults to annual for Baselined documents and at each phase gate for live project docs. Clinical, regulatory, and IT-security records may carry shorter cycles defined by their owning department.</w:t>
      </w:r>
    </w:p>
    <w:p>
      <w:pPr>
        <w:pStyle w:val="Heading1"/>
      </w:pPr>
      <w:r>
        <w:t>6.  Intake Linkage — How Every Doc Traces Back</w:t>
      </w:r>
    </w:p>
    <w:p>
      <w:r>
        <w:rPr>
          <w:i w:val="0"/>
          <w:sz w:val="21"/>
        </w:rPr>
        <w:t>The Integrated Intake Form (THG-ENT-INT-001) is the front door for any work request that crosses department boundaries — a new project, a clinical study, a system change, a vendor onboarding. Every intake produces a unique Intake ID that propagates downstream into every artifact created in support of that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51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1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Requester submits Integrated Intake Form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 Log (THG-ENT-INT-LOG.xlsx)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1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Triage assigns Intake ID + routes to primary department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Intake Log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1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Triggered artifacts inherit Intake ID in Block B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Each artifact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1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Requests reference the Intake ID and original artifacts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Log</w:t>
            </w:r>
          </w:p>
        </w:tc>
      </w:tr>
      <w:tr>
        <w:tc>
          <w:tcPr>
            <w:tcW w:type="dxa" w:w="72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1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Closure / Lessons Learned references Intake ID and downstream artifacts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Lessons Learned</w:t>
            </w:r>
          </w:p>
        </w:tc>
      </w:tr>
    </w:tbl>
    <w:p>
      <w:pPr>
        <w:pStyle w:val="Heading1"/>
      </w:pPr>
      <w:r>
        <w:t>7.  Cross-Functional RACI Conventions</w:t>
      </w:r>
    </w:p>
    <w:p>
      <w:r>
        <w:rPr>
          <w:i/>
          <w:color w:val="555B66"/>
          <w:sz w:val="21"/>
        </w:rPr>
        <w:t>Every document declares department engagement using the standard RACI taxonomy. These rules prevent ambiguous accountability and the most common audit finding — 'unclear ownership across functions.'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4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Responsible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Does the work. Multiple Rs allowed.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Accountable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Owns the outcome. EXACTLY ONE A per document.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Consulted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Two-way input before decision.</w:t>
            </w:r>
          </w:p>
        </w:tc>
      </w:tr>
      <w:tr>
        <w:tc>
          <w:tcPr>
            <w:tcW w:type="dxa" w:w="86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Informed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One-way notification after decision.</w:t>
            </w:r>
          </w:p>
        </w:tc>
      </w:tr>
    </w:tbl>
    <w:p>
      <w:r>
        <w:rPr>
          <w:i w:val="0"/>
          <w:sz w:val="21"/>
        </w:rPr>
        <w:t>The enterprise RACI baseline lives in the Cross-Department RACI Matrix (THG-ENT-RAC-001). Individual documents may tighten — never loosen — the enterprise default.</w:t>
      </w:r>
    </w:p>
    <w:p>
      <w:pPr>
        <w:pStyle w:val="Heading1"/>
      </w:pPr>
      <w:r>
        <w:t>8.  Compliance Frames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When it applies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Documentation impact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Electronic records that support FDA-regulated activities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trail, signature meaning, controlled access, validated systems of record.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 Privacy &amp; Security Rules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Any document touching protected health information (PHI)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Minimum necessary, de-identification before sharing outside covered scope, access logging.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Edition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All project management artifacts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Performance domains, principles, tailoring rationale documented in Project Management Plan.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ISO 13485 / GxP (where applicable)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Device / clinical / lab quality system documents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Owning department's QMS prevails; integrated docs reference but do not replace controlled SOPs.</w:t>
            </w:r>
          </w:p>
        </w:tc>
      </w:tr>
    </w:tbl>
    <w:p>
      <w:pPr>
        <w:pStyle w:val="Heading1"/>
      </w:pPr>
      <w:r>
        <w:t>9.  Visual &amp; Writing Standards</w:t>
      </w:r>
    </w:p>
    <w:p>
      <w:pPr>
        <w:pStyle w:val="Heading2"/>
      </w:pPr>
      <w:r>
        <w:t>9.1  Visual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2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Standard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Font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Calibri, 11pt body, 14/12/11pt headings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Color — Navy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#0F2A4A — primary headings and accent rule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Color — Teal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#127A8B — secondary accents, IDs, status chips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Color — Amber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#C2770C — caution, attention, watch-list flags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Color — Grey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#555B66 — meta text, captions, italicized guidance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Tables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Navy header row with white text; alternating light grey rows; 0.5pt borders #BFC6CF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Margins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1.0″ left/right, 0.8″ top/bottom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Page numbering</w:t>
            </w:r>
          </w:p>
        </w:tc>
        <w:tc>
          <w:tcPr>
            <w:tcW w:type="dxa" w:w="72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Footer center, 'Page X of Y'</w:t>
            </w:r>
          </w:p>
        </w:tc>
      </w:tr>
    </w:tbl>
    <w:p>
      <w:pPr>
        <w:pStyle w:val="Heading2"/>
      </w:pPr>
      <w:r>
        <w:t>9.2  Writing</w:t>
      </w:r>
    </w:p>
    <w:p>
      <w:pPr>
        <w:pStyle w:val="ListBullet"/>
      </w:pPr>
      <w:r>
        <w:rPr>
          <w:sz w:val="21"/>
        </w:rPr>
        <w:t>Sentence case for titles and headings — never Title Case, never ALL CAPS.</w:t>
      </w:r>
    </w:p>
    <w:p>
      <w:pPr>
        <w:pStyle w:val="ListBullet"/>
      </w:pPr>
      <w:r>
        <w:rPr>
          <w:sz w:val="21"/>
        </w:rPr>
        <w:t>Active voice; name the actor (department or role), not 'it' or 'the system'.</w:t>
      </w:r>
    </w:p>
    <w:p>
      <w:pPr>
        <w:pStyle w:val="ListBullet"/>
      </w:pPr>
      <w:r>
        <w:rPr>
          <w:sz w:val="21"/>
        </w:rPr>
        <w:t>Define every acronym on first use; if used three or more times, add to the project glossary.</w:t>
      </w:r>
    </w:p>
    <w:p>
      <w:pPr>
        <w:pStyle w:val="ListBullet"/>
      </w:pPr>
      <w:r>
        <w:rPr>
          <w:sz w:val="21"/>
        </w:rPr>
        <w:t>Dates in ISO format: YYYY-MM-DD.</w:t>
      </w:r>
    </w:p>
    <w:p>
      <w:pPr>
        <w:pStyle w:val="ListBullet"/>
      </w:pPr>
      <w:r>
        <w:rPr>
          <w:sz w:val="21"/>
        </w:rPr>
        <w:t>Currency in USD by default with explicit unit ($mm, $k) in column headers.</w:t>
      </w:r>
    </w:p>
    <w:p>
      <w:pPr>
        <w:pStyle w:val="ListBullet"/>
      </w:pPr>
      <w:r>
        <w:rPr>
          <w:sz w:val="21"/>
        </w:rPr>
        <w:t>Avoid hedging verbs ('may', 'should') in audit-relevant sections — use 'shall' or 'will' for binding language.</w:t>
      </w:r>
    </w:p>
    <w:p>
      <w:pPr>
        <w:pStyle w:val="Heading1"/>
      </w:pPr>
      <w:r>
        <w:t>10.  Spreadsheet &amp; Data Conventions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Convention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Rule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WBS IDs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Identical across Scope, WBS, WBS Dictionary, Schedule, and Budget.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Risk IDs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R-NNN, monotonic, never reused.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IDs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C-NNN, linked to originating Intake ID + affected artifacts.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Stakeholder IDs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S-NNN, persistent across the lifecycle.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Formula color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Black text. Hardcoded inputs in blue. Cross-sheet refs in green. External refs in red.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Zero handling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Format zeros as '—' to reduce visual noise.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Percentages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One decimal place (0.0%).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Sheet order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README → Inputs → Calculations → Outputs → Audit Trail.</w:t>
            </w:r>
          </w:p>
        </w:tc>
      </w:tr>
    </w:tbl>
    <w:p>
      <w:pPr>
        <w:pStyle w:val="Heading1"/>
      </w:pPr>
      <w:r>
        <w:t>11.  Storage, Access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73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Access control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artifacts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SharePoint / Teams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Life of project + 7 years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team + PMO + Audit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Clinical records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eTMF (validated)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Per regulatory hold periods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Clinical + Regulatory + Audit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records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eQMS (validated)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ISO 13485 retention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+ Regulatory + Audit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records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change log + eQMS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 of system + 7 years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board members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PHI-containing</w:t>
            </w:r>
          </w:p>
        </w:tc>
        <w:tc>
          <w:tcPr>
            <w:tcW w:type="dxa" w:w="273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HIPAA-controlled store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6 years minimum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Need-to-know with audit logging</w:t>
            </w:r>
          </w:p>
        </w:tc>
      </w:tr>
    </w:tbl>
    <w:p>
      <w:pPr>
        <w:pStyle w:val="Heading1"/>
      </w:pPr>
      <w:r>
        <w:t>12.  Roles in the Documentation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Owns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This Standards Guide; the Master Index; the enterprise RACI baseline.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Document Owner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Content accuracy; review cycle; revision history of an individual document.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Approver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Baseline sign-off; authority to retire.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 Lead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Department-specific tailoring; named C/I assignments for their function.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 frame mapping; audit readiness of controlled records.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Requester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Initiates work via the Integrated Intake Form.</w:t>
            </w:r>
          </w:p>
        </w:tc>
      </w:tr>
    </w:tbl>
    <w:p>
      <w:pPr>
        <w:pStyle w:val="Heading1"/>
      </w:pPr>
      <w:r>
        <w:t>13.  Tailoring — What Teams May Change</w:t>
      </w:r>
    </w:p>
    <w:p>
      <w:r>
        <w:rPr>
          <w:i/>
          <w:color w:val="555B66"/>
          <w:sz w:val="21"/>
        </w:rPr>
        <w:t>Documentation should fit the work. Tailoring is encouraged within these guardrails.</w:t>
      </w:r>
    </w:p>
    <w:p>
      <w:pPr>
        <w:pStyle w:val="Heading2"/>
      </w:pPr>
      <w:r>
        <w:t>Always required (do not omit)</w:t>
      </w:r>
    </w:p>
    <w:p>
      <w:pPr>
        <w:pStyle w:val="ListBullet"/>
      </w:pPr>
      <w:r>
        <w:rPr>
          <w:sz w:val="21"/>
        </w:rPr>
        <w:t>Header, Title block, Document Control (A), Intake Linkage (B), Cross-Functional RACI (C), Compliance (D), Handoffs (Z-1), Revision History (Z-3).</w:t>
      </w:r>
    </w:p>
    <w:p>
      <w:pPr>
        <w:pStyle w:val="ListBullet"/>
      </w:pPr>
      <w:r>
        <w:rPr>
          <w:sz w:val="21"/>
        </w:rPr>
        <w:t>Document ID and version status.</w:t>
      </w:r>
    </w:p>
    <w:p>
      <w:pPr>
        <w:pStyle w:val="Heading2"/>
      </w:pPr>
      <w:r>
        <w:t>Tailorable</w:t>
      </w:r>
    </w:p>
    <w:p>
      <w:pPr>
        <w:pStyle w:val="ListBullet"/>
      </w:pPr>
      <w:r>
        <w:rPr>
          <w:sz w:val="21"/>
        </w:rPr>
        <w:t>Body sections — add, remove, or merge to fit the work, provided headings remain numbered.</w:t>
      </w:r>
    </w:p>
    <w:p>
      <w:pPr>
        <w:pStyle w:val="ListBullet"/>
      </w:pPr>
      <w:r>
        <w:rPr>
          <w:sz w:val="21"/>
        </w:rPr>
        <w:t>Approval Signatures (Z-2) — list of signatories appropriate to risk and authority level.</w:t>
      </w:r>
    </w:p>
    <w:p>
      <w:pPr>
        <w:pStyle w:val="ListBullet"/>
      </w:pPr>
      <w:r>
        <w:rPr>
          <w:sz w:val="21"/>
        </w:rPr>
        <w:t>Review cadence — shorter cycles are always permitted; longer cycles require sponsor approval.</w:t>
      </w:r>
    </w:p>
    <w:p>
      <w:pPr>
        <w:pStyle w:val="Heading1"/>
      </w:pPr>
      <w:r>
        <w:t>14.  Glossary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Artifact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Any document, register, workbook, or record produced under this standard.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Baseline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An approved version of an artifact; subsequent changes require a Change Request.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Intake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 formal request that initiates work crossing department boundaries.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Lifecycle phase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PMI process group: Initiating, Planning, Executing, Monitoring &amp; Controlling, Closing.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RACI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Responsible, Accountable, Consulted, Informed.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Triage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The intake-side activity of categorizing, routing, and assigning a request.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Theragen Quality Manual (eQMS) — provides regulatory governance frame.</w:t>
      </w:r>
    </w:p>
    <w:p>
      <w:pPr>
        <w:pStyle w:val="ListBullet"/>
      </w:pPr>
      <w:r>
        <w:rPr>
          <w:sz w:val="21"/>
        </w:rPr>
        <w:t>Theragen Strategic Plan — provides portfolio priorities feeding Intake triage.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Integrated Intake Form (THG-ENT-INT-001).</w:t>
      </w:r>
    </w:p>
    <w:p>
      <w:pPr>
        <w:pStyle w:val="ListBullet"/>
      </w:pPr>
      <w:r>
        <w:rPr>
          <w:sz w:val="21"/>
        </w:rPr>
        <w:t>Cross-Department RACI Matrix (THG-ENT-RAC-001).</w:t>
      </w:r>
    </w:p>
    <w:p>
      <w:pPr>
        <w:pStyle w:val="ListBullet"/>
      </w:pPr>
      <w:r>
        <w:rPr>
          <w:sz w:val="21"/>
        </w:rPr>
        <w:t>Master Document Index (THG-ENT-IDX-001).</w:t>
      </w:r>
    </w:p>
    <w:p>
      <w:pPr>
        <w:pStyle w:val="ListBullet"/>
      </w:pPr>
      <w:r>
        <w:rPr>
          <w:sz w:val="21"/>
        </w:rPr>
        <w:t>All 14 PMBOK template artifacts.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Information Security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ENTERPRISE  ·  DOCUMENTATION GOVERNANCE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