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B6862C"/>
          <w:sz w:val="20"/>
          <w:szCs w:val="20"/>
        </w:rPr>
        <w:t xml:space="preserve">Addendum A</w:t>
      </w:r>
    </w:p>
    <w:p>
      <w:pPr>
        <w:spacing w:after="100"/>
      </w:pPr>
      <w:r>
        <w:rPr>
          <w:b/>
          <w:bCs/>
          <w:color w:val="1F3B57"/>
          <w:sz w:val="40"/>
          <w:szCs w:val="40"/>
        </w:rPr>
        <w:t xml:space="preserve">WSAPT Confluence Engine — Scope Lock</w:t>
      </w:r>
    </w:p>
    <w:p>
      <w:pPr>
        <w:spacing w:after="160"/>
      </w:pPr>
      <w:r>
        <w:rPr>
          <w:i/>
          <w:iCs/>
          <w:color w:val="6B7280"/>
        </w:rPr>
        <w:t xml:space="preserve">Supersedes / extends the Investor Profile and 5-Day Implementation Blueprint on the points below. This page exists so the confluence logic, platform constraints, and proprietary-indicator handling are fixed once and carried into every future project conversation — not re-derived each time.</w:t>
      </w:r>
    </w:p>
    <w:p>
      <w:pPr>
        <w:pBdr>
          <w:bottom w:val="single" w:color="1F3B57" w:sz="6" w:space="1"/>
        </w:pBdr>
        <w:spacing w:after="240"/>
      </w:pPr>
    </w:p>
    <w:p>
      <w:pPr>
        <w:pStyle w:val="Heading1"/>
      </w:pPr>
      <w:r>
        <w:t xml:space="preserve">1. Platform Constraint — No Microsoft Products</w:t>
      </w:r>
    </w:p>
    <w:p>
      <w:pPr>
        <w:spacing w:after="160"/>
      </w:pPr>
      <w:r>
        <w:t xml:space="preserve">The Investor Profile and Blueprint previously assumed a Windows 11 / Microsoft-stack workflow (Windows Display Settings, implicitly Excel/OneDrive-flavoured guidance). This is corrected:</w:t>
      </w:r>
    </w:p>
    <w:p>
      <w:pPr>
        <w:pStyle w:val="ListParagraph"/>
        <w:numPr>
          <w:ilvl w:val="0"/>
          <w:numId w:val="2"/>
        </w:numPr>
        <w:spacing w:after="80"/>
      </w:pPr>
      <w:r>
        <w:t xml:space="preserve">Hardware remains the Lenovo Yoga 7i driving a three-screen array (Samsung 32" TV + LG 23" monitor), but display configuration, file storage, and office-document workflows must not assume Windows or Microsoft 365.</w:t>
      </w:r>
    </w:p>
    <w:p>
      <w:pPr>
        <w:pStyle w:val="ListParagraph"/>
        <w:numPr>
          <w:ilvl w:val="0"/>
          <w:numId w:val="2"/>
        </w:numPr>
        <w:spacing w:after="80"/>
      </w:pPr>
      <w:r>
        <w:t xml:space="preserve">Master data lives in Google Sheets (Google Drive → Investment tools folder), not Excel/OneDrive. Looker Studio remains the dashboard layer.</w:t>
      </w:r>
    </w:p>
    <w:p>
      <w:pPr>
        <w:pStyle w:val="ListParagraph"/>
        <w:numPr>
          <w:ilvl w:val="0"/>
          <w:numId w:val="2"/>
        </w:numPr>
        <w:spacing w:after="80"/>
      </w:pPr>
      <w:r>
        <w:t xml:space="preserve">Any OS-level display arrangement steps in the Blueprint (Day 3) should be read as platform-agnostic — substitute the relevant OS's native display arrangement tool (macOS System Settings → Displays, ChromeOS, or Linux equivalent) for the Windows-specific instructions originally drafted.</w:t>
      </w:r>
    </w:p>
    <w:p>
      <w:pPr>
        <w:pBdr>
          <w:bottom w:val="single" w:color="1F3B57" w:sz="6" w:space="1"/>
        </w:pBdr>
        <w:spacing w:after="240"/>
      </w:pPr>
    </w:p>
    <w:p>
      <w:pPr>
        <w:pStyle w:val="Heading1"/>
      </w:pPr>
      <w:r>
        <w:t xml:space="preserve">2. Live Data Source of Record — TradingView Plus</w:t>
      </w:r>
    </w:p>
    <w:p>
      <w:pPr>
        <w:spacing w:after="160"/>
      </w:pPr>
      <w:r>
        <w:t xml:space="preserve">TradingView Plus (account hummdinger4@gmail.com) is confirmed as the live pricing and charting engine, not a placeholder. Two data paths exist and both must remain auditable to the &lt;1hr data-age rule:</w:t>
      </w:r>
    </w:p>
    <w:p>
      <w:pPr>
        <w:pStyle w:val="ListParagraph"/>
        <w:numPr>
          <w:ilvl w:val="0"/>
          <w:numId w:val="2"/>
        </w:numPr>
        <w:spacing w:after="80"/>
      </w:pPr>
      <w:r>
        <w:t xml:space="preserve">Charting &amp; live signal generation: TradingView Plus charts, indicators, and Pine Script alerts, displayed on the Samsung 32" TV.</w:t>
      </w:r>
    </w:p>
    <w:p>
      <w:pPr>
        <w:pStyle w:val="ListParagraph"/>
        <w:numPr>
          <w:ilvl w:val="0"/>
          <w:numId w:val="2"/>
        </w:numPr>
        <w:spacing w:after="80"/>
      </w:pPr>
      <w:r>
        <w:t xml:space="preserve">Portfolio database refresh: TradingView CSV export → Google Sheets TV_Imports tab → XLOOKUP into Master_Watchlist, timestamped on import.</w:t>
      </w:r>
    </w:p>
    <w:p>
      <w:pPr>
        <w:pStyle w:val="ListParagraph"/>
        <w:numPr>
          <w:ilvl w:val="0"/>
          <w:numId w:val="2"/>
        </w:numPr>
        <w:spacing w:after="80"/>
      </w:pPr>
      <w:r>
        <w:t xml:space="preserve">Execution alerts (Stop-Loss Breach, Accumulation Buy Trigger, Trend Break, and now Confluence Score state changes) are drawn directly from TradingView signals via Pine Script alertcondition() blocks and pushed to mobile via TradingView App / Webhook → Pushover.</w:t>
      </w:r>
    </w:p>
    <w:p>
      <w:pPr>
        <w:spacing w:after="160"/>
      </w:pPr>
      <w:r>
        <w:t xml:space="preserve">Any dashboard built outside TradingView (Looker Studio, or a custom web prototype) is a visualisation and audit layer on top of this data — it is not an independent live feed, and must always display the timestamp of its underlying source so staleness is self-evident.</w:t>
      </w:r>
    </w:p>
    <w:p>
      <w:pPr>
        <w:pBdr>
          <w:bottom w:val="single" w:color="1F3B57" w:sz="6" w:space="1"/>
        </w:pBdr>
        <w:spacing w:after="240"/>
      </w:pPr>
    </w:p>
    <w:p>
      <w:pPr>
        <w:pStyle w:val="Heading1"/>
      </w:pPr>
      <w:r>
        <w:t xml:space="preserve">3. The “Seeking Confluence” Multi-Indicator Strategy</w:t>
      </w:r>
    </w:p>
    <w:p>
      <w:pPr>
        <w:spacing w:after="160"/>
      </w:pPr>
      <w:r>
        <w:t xml:space="preserve">This is the core addition to Objective 1 (WSAPT framework) and Objective 2 (dashboard). Buy / sell / stop-adjustment timing decisions are not made off any single indicator. Instead, each asset carries a Confluence Score built from the signals below, and the WSAPT stop/accumulation levels are the structural skeleton that all of these signals are read against.</w:t>
      </w:r>
    </w:p>
    <w:p>
      <w:pPr>
        <w:pStyle w:val="Heading2"/>
      </w:pPr>
      <w:r>
        <w:t xml:space="preserve">3.1 Confluence Signal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3600"/>
        <w:gridCol w:w="1960"/>
      </w:tblGrid>
      <w:tr>
        <w:tc>
          <w:tcPr>
            <w:tcW w:type="dxa" w:w="17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sz w:val="19"/>
                <w:szCs w:val="19"/>
              </w:rPr>
              <w:t xml:space="preserve">Signal</w:t>
            </w:r>
          </w:p>
        </w:tc>
        <w:tc>
          <w:tcPr>
            <w:tcW w:type="dxa" w:w="21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sz w:val="19"/>
                <w:szCs w:val="19"/>
              </w:rPr>
              <w:t xml:space="preserve">Source / Tool</w:t>
            </w:r>
          </w:p>
        </w:tc>
        <w:tc>
          <w:tcPr>
            <w:tcW w:type="dxa" w:w="36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sz w:val="19"/>
                <w:szCs w:val="19"/>
              </w:rPr>
              <w:t xml:space="preserve">What It Confirms</w:t>
            </w:r>
          </w:p>
        </w:tc>
        <w:tc>
          <w:tcPr>
            <w:tcW w:type="dxa" w:w="19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sz w:val="19"/>
                <w:szCs w:val="19"/>
              </w:rPr>
              <w:t xml:space="preserve">Weight in Confluence Score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Larsson Line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CTO Larsson proprietary indicator (TradingView add-on)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Primary proprietary trend-bias signal — the tie-breaker when other signals conflict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High (anchor signal)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50/200 SMA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Native TradingView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Structural trend direction; Golden Cross / Death Cross context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High</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VRVP (Volume Profile)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Native TradingView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POC and LVN levels — where structural support/resistance and slippage risk actually sit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High</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RSI</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Native TradingView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Momentum exhaustion / divergence at the edges of a move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Medium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Bollinger Bands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Native TradingView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Volatility expansion/contraction context around entries and stops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Medium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Chart Patterns (tops/bottoms)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Manual/AI-assisted visual read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Confirms structural top or bottom formation (double top, H&amp;S, etc.)</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Medium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ATR (14)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Native TradingView, feeds WSAPT math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Sets the actual stop/accumulation distances — not a signal itself but the ruler all signals are measured against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Structural (always on)</w:t>
            </w:r>
          </w:p>
        </w:tc>
      </w:tr>
    </w:tbl>
    <w:p>
      <w:pPr>
        <w:spacing w:after="200"/>
      </w:pPr>
    </w:p>
    <w:p>
      <w:pPr>
        <w:pStyle w:val="Heading2"/>
      </w:pPr>
      <w:r>
        <w:t xml:space="preserve">3.2 Handling the Larsson Line (Proprietary)</w:t>
      </w:r>
    </w:p>
    <w:p>
      <w:pPr>
        <w:spacing w:after="160"/>
      </w:pPr>
      <w:r>
        <w:t xml:space="preserve">The Larsson Line is a paid, proprietary TradingView indicator (CTO Larsson subscription). It cannot be reverse-engineered, reproduced, or approximated in any custom tool, script, or dashboard — doing so would breach the indicator's licensing and is out of scope for any build.</w:t>
      </w:r>
    </w:p>
    <w:p>
      <w:pPr>
        <w:pStyle w:val="ListParagraph"/>
        <w:numPr>
          <w:ilvl w:val="0"/>
          <w:numId w:val="2"/>
        </w:numPr>
        <w:spacing w:after="80"/>
      </w:pPr>
      <w:r>
        <w:t xml:space="preserve">Correct integration pattern: read the Larsson Line's signal state directly off the TradingView chart (bullish / bearish / neutral bias, and any flip events it plots) and feed that state into the Confluence Score as a manual or webhook-fed input — never recreate its underlying calculation.</w:t>
      </w:r>
    </w:p>
    <w:p>
      <w:pPr>
        <w:pStyle w:val="ListParagraph"/>
        <w:numPr>
          <w:ilvl w:val="0"/>
          <w:numId w:val="2"/>
        </w:numPr>
        <w:spacing w:after="80"/>
      </w:pPr>
      <w:r>
        <w:t xml:space="preserve">If TradingView's alert system can expose a Larsson Line crossover/flip as an alertcondition(), that alert is the cleanest hand-off point into the WSAPT Pine Script bridge described in Objective 3.</w:t>
      </w:r>
    </w:p>
    <w:p>
      <w:pPr>
        <w:pStyle w:val="ListParagraph"/>
        <w:numPr>
          <w:ilvl w:val="0"/>
          <w:numId w:val="2"/>
        </w:numPr>
        <w:spacing w:after="80"/>
      </w:pPr>
      <w:r>
        <w:t xml:space="preserve">In any dashboard mockup, the Larsson Line field is therefore always a status input (e.g., “Bullish / Bearish / Neutral”, manually set or alert-fed) — never a chart computed from raw price data.</w:t>
      </w:r>
    </w:p>
    <w:p>
      <w:pPr>
        <w:pStyle w:val="Heading2"/>
      </w:pPr>
      <w:r>
        <w:t xml:space="preserve">3.3 Confluence Score Logic (Plain-English Definition)</w:t>
      </w:r>
    </w:p>
    <w:p>
      <w:pPr>
        <w:spacing w:after="160"/>
      </w:pPr>
      <w:r>
        <w:t xml:space="preserve">For each asset, score the signals above as Bullish (+1), Neutral (0), or Bearish (−1) and sum them, weighting the Larsson Line, SMA structure, and VRVP slightly higher than RSI/Bollinger/pattern reads. The resulting score buckets into a simple timing read:</w:t>
      </w:r>
    </w:p>
    <w:p>
      <w:pPr>
        <w:pStyle w:val="ListParagraph"/>
        <w:numPr>
          <w:ilvl w:val="0"/>
          <w:numId w:val="2"/>
        </w:numPr>
        <w:spacing w:after="80"/>
      </w:pPr>
      <w:r>
        <w:t xml:space="preserve">Strong Confluence (score ≥ +3): Supports Zone 1/Zone 2 accumulation or holding through normal volatility.</w:t>
      </w:r>
    </w:p>
    <w:p>
      <w:pPr>
        <w:pStyle w:val="ListParagraph"/>
        <w:numPr>
          <w:ilvl w:val="0"/>
          <w:numId w:val="2"/>
        </w:numPr>
        <w:spacing w:after="80"/>
      </w:pPr>
      <w:r>
        <w:t xml:space="preserve">Mixed / Watch (score between −2 and +2): No new action; tighten attention, not necessarily stops.</w:t>
      </w:r>
    </w:p>
    <w:p>
      <w:pPr>
        <w:pStyle w:val="ListParagraph"/>
        <w:numPr>
          <w:ilvl w:val="0"/>
          <w:numId w:val="2"/>
        </w:numPr>
        <w:spacing w:after="80"/>
      </w:pPr>
      <w:r>
        <w:t xml:space="preserve">Weak Confluence (score ≤ −3): Supports ratcheting the trailing stop up (tight stop) or reassessing the position; does not by itself force a sale — the WSAPT stop levels remain the actual trigger.</w:t>
      </w:r>
    </w:p>
    <w:p>
      <w:pPr>
        <w:spacing w:after="160"/>
      </w:pPr>
      <w:r>
        <w:t xml:space="preserve">This score is a decision-support overlay, not a replacement for the WSAPT stop-loss/accumulation math, which remains the mechanical, non-discretionary trigger for actual execution.</w:t>
      </w:r>
    </w:p>
    <w:p>
      <w:pPr>
        <w:pBdr>
          <w:bottom w:val="single" w:color="1F3B57" w:sz="6" w:space="1"/>
        </w:pBdr>
        <w:spacing w:after="240"/>
      </w:pPr>
    </w:p>
    <w:p>
      <w:pPr>
        <w:pStyle w:val="Heading1"/>
      </w:pPr>
      <w:r>
        <w:t xml:space="preserve">4. Updated Master_Watchlist Column Additions</w:t>
      </w:r>
    </w:p>
    <w:p>
      <w:pPr>
        <w:spacing w:after="160"/>
      </w:pPr>
      <w:r>
        <w:t xml:space="preserve">To carry confluence data, the existing Google Sheets Master_Watchlist (Columns A–N) gains the following columns. These are additive — no existing column changes meaning or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960"/>
      </w:tblGrid>
      <w:tr>
        <w:tc>
          <w:tcPr>
            <w:tcW w:type="dxa" w:w="9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sz w:val="19"/>
                <w:szCs w:val="19"/>
              </w:rPr>
              <w:t xml:space="preserve">Col</w:t>
            </w:r>
          </w:p>
        </w:tc>
        <w:tc>
          <w:tcPr>
            <w:tcW w:type="dxa" w:w="35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sz w:val="19"/>
                <w:szCs w:val="19"/>
              </w:rPr>
              <w:t xml:space="preserve">Header</w:t>
            </w:r>
          </w:p>
        </w:tc>
        <w:tc>
          <w:tcPr>
            <w:tcW w:type="dxa" w:w="49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sz w:val="19"/>
                <w:szCs w:val="19"/>
              </w:rPr>
              <w:t xml:space="preserve">Type / Source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Larsson Line Signal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Manual entry or TradingView webhook (Bullish / Bearish / Neutral)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RSI (14)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TradingView CSV import or manual entry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Q</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Bollinger Position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Manual read: Upper / Mid / Lower band proximity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VRVP POC Distance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Manual read from TradingView VRVP overlay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Pattern Note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Free text: e.g. “Double top forming”, “Higher low confirmed”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Confluence Score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=SUM of weighted signals, O–S (formula defined in 3.3)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U</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Confluence Read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=IF(T≥3,“Strong”,IF(T&lt;=-3,“Weak”,“Mixed/Watch”))</w:t>
            </w:r>
          </w:p>
        </w:tc>
      </w:tr>
    </w:tbl>
    <w:p>
      <w:pPr>
        <w:spacing w:after="160"/>
      </w:pPr>
      <w:r>
        <w:rPr>
          <w:i/>
          <w:iCs/>
          <w:color w:val="6B7280"/>
        </w:rPr>
        <w:t xml:space="preserve">Note: Columns previously labelled P/Q/R for the FX &amp; Commodity Timing widget (NZD/USD etc.) remain unchanged — they sit in the separate block starting at Column P/Q/R on Row 1 of that widget, not the main asset table. To avoid the collision now that the main table is extending past Column N, the FX/Commodity widget should be relocated to start at Column W on next rebuild.</w:t>
      </w:r>
    </w:p>
    <w:p>
      <w:pPr>
        <w:pBdr>
          <w:bottom w:val="single" w:color="1F3B57" w:sz="6" w:space="1"/>
        </w:pBdr>
        <w:spacing w:after="240"/>
      </w:pPr>
    </w:p>
    <w:p>
      <w:pPr>
        <w:pStyle w:val="Heading1"/>
      </w:pPr>
      <w:r>
        <w:t xml:space="preserve">5. What Changes in the Blueprint (Days 1–5)</w:t>
      </w:r>
    </w:p>
    <w:p>
      <w:pPr>
        <w:pStyle w:val="ListParagraph"/>
        <w:numPr>
          <w:ilvl w:val="0"/>
          <w:numId w:val="2"/>
        </w:numPr>
        <w:spacing w:after="80"/>
      </w:pPr>
      <w:r>
        <w:t xml:space="preserve">Day 1: Master_Watchlist gains Columns O–U above. FX/Commodity widget shifts start column from P to W to avoid overlap.</w:t>
      </w:r>
    </w:p>
    <w:p>
      <w:pPr>
        <w:pStyle w:val="ListParagraph"/>
        <w:numPr>
          <w:ilvl w:val="0"/>
          <w:numId w:val="2"/>
        </w:numPr>
        <w:spacing w:after="80"/>
      </w:pPr>
      <w:r>
        <w:t xml:space="preserve">Day 2: Pine Script overlay (Jacson3 Advanced Technical Suite) gains alert conditions for Larsson Line flip events (where exposable) and a simple confluence-state plot/label, in addition to the existing dual-stop and SMA/Bollinger plots.</w:t>
      </w:r>
    </w:p>
    <w:p>
      <w:pPr>
        <w:pStyle w:val="ListParagraph"/>
        <w:numPr>
          <w:ilvl w:val="0"/>
          <w:numId w:val="2"/>
        </w:numPr>
        <w:spacing w:after="80"/>
      </w:pPr>
      <w:r>
        <w:t xml:space="preserve">Day 3: Webhook payloads extended to include the Confluence Read state, not just Stop-Loss Breach / Accumulation Buy Trigger / Trend Break.</w:t>
      </w:r>
    </w:p>
    <w:p>
      <w:pPr>
        <w:pStyle w:val="ListParagraph"/>
        <w:numPr>
          <w:ilvl w:val="0"/>
          <w:numId w:val="2"/>
        </w:numPr>
        <w:spacing w:after="80"/>
      </w:pPr>
      <w:r>
        <w:t xml:space="preserve">Day 4: Looker Studio / dashboard tabs display the Confluence Score and its component signals per asset, with the Larsson Line shown as a status badge rather than a computed line.</w:t>
      </w:r>
    </w:p>
    <w:p>
      <w:pPr>
        <w:pStyle w:val="ListParagraph"/>
        <w:numPr>
          <w:ilvl w:val="0"/>
          <w:numId w:val="2"/>
        </w:numPr>
        <w:spacing w:after="80"/>
      </w:pPr>
      <w:r>
        <w:t xml:space="preserve">Day 5: No change — XIRR and STRC income engine are unaffected by this addendum.</w:t>
      </w:r>
    </w:p>
    <w:p>
      <w:pPr>
        <w:pBdr>
          <w:bottom w:val="single" w:color="1F3B57" w:sz="6" w:space="1"/>
        </w:pBdr>
        <w:spacing w:after="240"/>
      </w:pPr>
    </w:p>
    <w:p>
      <w:pPr>
        <w:pStyle w:val="Heading1"/>
      </w:pPr>
      <w:r>
        <w:t xml:space="preserve">6. Persistence Note</w:t>
      </w:r>
    </w:p>
    <w:p>
      <w:pPr>
        <w:spacing w:after="160"/>
      </w:pPr>
      <w:r>
        <w:rPr>
          <w:b/>
          <w:bCs/>
        </w:rPr>
        <w:t xml:space="preserve">This addendum is the binding reference for the confluence/indicator strategy, the no-Microsoft constraint, and the TradingView-as-source-of-truth decision. Future project conversations should treat Sections 1–3 above as settled scope, not open questions to re-litigate.</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Jacson3 Portfolio —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B57"/>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F3B5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2026-06-24T04:34:19.817Z</dcterms:created>
  <dcterms:modified xsi:type="dcterms:W3CDTF">2026-06-24T04:34:19.817Z</dcterms:modified>
</cp:coreProperties>
</file>

<file path=docProps/custom.xml><?xml version="1.0" encoding="utf-8"?>
<Properties xmlns="http://schemas.openxmlformats.org/officeDocument/2006/custom-properties" xmlns:vt="http://schemas.openxmlformats.org/officeDocument/2006/docPropsVTypes"/>
</file>