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B6862C"/>
          <w:sz w:val="20"/>
          <w:szCs w:val="20"/>
        </w:rPr>
        <w:t xml:space="preserve">Jacson3 Portfolio</w:t>
      </w:r>
    </w:p>
    <w:p>
      <w:pPr>
        <w:spacing w:after="100"/>
      </w:pPr>
      <w:r>
        <w:rPr>
          <w:b/>
          <w:bCs/>
          <w:color w:val="1F3B57"/>
          <w:sz w:val="40"/>
          <w:szCs w:val="40"/>
        </w:rPr>
        <w:t xml:space="preserve">Technical Specification</w:t>
      </w:r>
    </w:p>
    <w:p>
      <w:pPr>
        <w:spacing w:after="160"/>
      </w:pPr>
      <w:r>
        <w:rPr>
          <w:i/>
          <w:iCs/>
          <w:color w:val="6B7280"/>
        </w:rPr>
        <w:t xml:space="preserve">Replaces the original Strategic Objectives document and Addendum A. This is the build-facing reference: what the system does, how the WSAPT/Confluence engine works, what's built, and what's still open. The Jacson3 Ltd. Investor Profile remains the separate, person-facing document covering risk tolerance, goals, and accounts — read both; read this one for mechanics.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0. Project Intent</w:t>
      </w:r>
    </w:p>
    <w:p>
      <w:pPr>
        <w:spacing w:after="160"/>
      </w:pPr>
      <w:r>
        <w:t xml:space="preserve">Optimise the Jacson3 Investment Portfolio to fund a healthy, active retirement, targeting a 25% Target Total Annual Return (TTAR), with technical and physical automation that reduces dependence on manual chart-watching from the Lenovo Yoga 7i screen. The system should move from manual chart-watching to an alert-driven workflow that pushes notifications to a mobile device during genuine market events — not generate noise that encourages more frequent trading than the Investor Profile calls for.</w:t>
      </w:r>
    </w:p>
    <w:p>
      <w:pPr>
        <w:pBdr>
          <w:left w:val="single" w:color="B6862C" w:sz="12" w:space="8"/>
        </w:pBdr>
        <w:spacing w:after="200"/>
        <w:ind w:left="360"/>
      </w:pPr>
      <w:r>
        <w:rPr>
          <w:i/>
          <w:iCs/>
          <w:color w:val="6B7280"/>
          <w:sz w:val="19"/>
          <w:szCs w:val="19"/>
        </w:rPr>
        <w:t xml:space="preserve">This document deliberately does not cap itself at a fixed number of objectives. Earlier drafts imposed a 5-item limit; that constraint is removed. Workstreams are listed in §5 in dependency order, and new ones can be added as they're identified.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1. Platform &amp; Data Source Constraints</w:t>
      </w:r>
    </w:p>
    <w:p>
      <w:pPr>
        <w:pStyle w:val="Heading2"/>
      </w:pPr>
      <w:r>
        <w:t xml:space="preserve">1.1 No Microsoft products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Windows, Excel, OneDrive, or Microsoft 365 anywhere in this project.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Master data lives in Google Sheets (Google Drive → Investment tools folder). Looker Studio is the dashboard/visualisation layer on top of it.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Hardware remains the Lenovo Yoga 7i driving a three-screen array (Samsung 32" TV + LG 23" monitor); display/file-storage guidance stays platform-agnostic (macOS, ChromeOS, Linux native tools) rather than Windows-specific.</w:t>
      </w:r>
    </w:p>
    <w:p>
      <w:pPr>
        <w:pStyle w:val="Heading2"/>
      </w:pPr>
      <w:r>
        <w:t xml:space="preserve">1.2 TradingView Plus is the live data source of record</w:t>
      </w:r>
    </w:p>
    <w:p>
      <w:pPr>
        <w:spacing w:after="160"/>
      </w:pPr>
      <w:r>
        <w:t xml:space="preserve">TradingView Plus (account hummdinger4@gmail.com) is the live pricing/charting engine — never a placeholder. Two real data paths: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Charting &amp; live signals: </w:t>
      </w:r>
      <w:r>
        <w:t xml:space="preserve">TradingView Plus charts, indicators, Pine Script alertcondition() blocks, displayed on the Samsung 32" TV.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Portfolio database refresh: </w:t>
      </w:r>
      <w:r>
        <w:t xml:space="preserve">TradingView CSV export → Google Sheets TV_Imports tab → XLOOKUP into Master_Watchlist, timestamped on import.</w:t>
      </w:r>
    </w:p>
    <w:p>
      <w:pPr>
        <w:spacing w:after="160"/>
      </w:pPr>
      <w:r>
        <w:t xml:space="preserve">Execution alerts (Stop-Loss Breach, Accumulation Buy Trigger, Trend Break, Confluence Score state changes) are drawn from TradingView Pine Script alerts and pushed to mobile via TradingView App / Webhook → Pushover. Any dashboard built outside TradingView is a visualisation/audit layer, never an independent live feed — it must always show the timestamp of its underlying source.</w:t>
      </w:r>
    </w:p>
    <w:p>
      <w:pPr>
        <w:pStyle w:val="Heading2"/>
      </w:pPr>
      <w:r>
        <w:t xml:space="preserve">1.3 The &lt;1hr data-age rule</w:t>
      </w:r>
    </w:p>
    <w:p>
      <w:pPr>
        <w:spacing w:after="160"/>
      </w:pPr>
      <w:r>
        <w:t xml:space="preserve">Every price used in an actionable recommendation must be timestamped and flagged stale once older than 1 hour, unless explicitly a daily close. Never write a fabricated or search-derived “live” price into the sheet or dashboard — if no clean, single-source, timestamped print is available, leave the field blank and flagged (e.g. “⏳ NO PRICE DATA YET”) rather than estimate. This has already mattered in practice: CEN and MEL were added to the watchlist with blank price fields specifically because no single trustworthy timestamped quote was available at the time.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2. Holding Categories</w:t>
      </w:r>
    </w:p>
    <w:p>
      <w:pPr>
        <w:spacing w:after="160"/>
      </w:pPr>
      <w:r>
        <w:t xml:space="preserve">Two categories, replacing the looser groupings implied by earlier drafts (“no-stop,” “long-term accumulator,” “medium-term AI”). Every asset in Master_Watchlist carries a Holding Status (column O) of exactly one of the two below — this determines which stop-formula set applies, not just a label.</w:t>
      </w:r>
    </w:p>
    <w:p>
      <w:pPr>
        <w:pStyle w:val="Heading2"/>
      </w:pPr>
      <w:r>
        <w:t xml:space="preserve">2.1 Core Accumulation</w:t>
      </w:r>
    </w:p>
    <w:p>
      <w:pPr>
        <w:spacing w:after="160"/>
      </w:pPr>
      <w:r>
        <w:t xml:space="preserve">Held indefinitely; primary behaviour is accumulation — buying near support/pullback levels, occasionally taking profits when frothy, re-buying near institutional support. Current members: BTC, GOOG, AMZN, NVDA, IAA, TSLA.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No tight stop.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Wide stop: </w:t>
      </w:r>
      <w:r>
        <w:t xml:space="preserve">calibrated per-asset to sit below the VRVP Point of Control (POC) with a buffer, so a normal test-and-hold at institutional support does not trigger it. This is deliberately not a single fixed ATR multiplier applied uniformly — it's set by looking at where POC actually sits on each asset's real chart. Functions as a thesis-failure backstop (e.g. a structural break in the investment case), not a trading trigger.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Accumulation Zone 1/2: </w:t>
      </w:r>
      <w:r>
        <w:t xml:space="preserve">same as Active Trailing (§2.3).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Tesla's higher volatility and more frequent selling, and BTC's “probably never sold” status, are both accommodated within this one category's wide, asset-calibrated stop — neither needs a separate category.</w:t>
      </w:r>
    </w:p>
    <w:p>
      <w:pPr>
        <w:pStyle w:val="Heading2"/>
      </w:pPr>
      <w:r>
        <w:t xml:space="preserve">2.2 Active Trailing</w:t>
      </w:r>
    </w:p>
    <w:p>
      <w:pPr>
        <w:spacing w:after="160"/>
      </w:pPr>
      <w:r>
        <w:t xml:space="preserve">All other positions — cyclical/higher-beta names, typically held 2–5 years, where protecting profit through normal volatility via a mechanical stop is the right behaviour. Current members: all crypto except BTC, AVGO/MU/MRVL/AMD/ALAB/PLTR, MSTR, BABA, EXC, CEN, MEL, and any future addition not explicitly placed in Core Accumulation.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Tight Stop (Capital Preservation): </w:t>
      </w:r>
      <w:r>
        <w:t xml:space="preserve">Close − 1.5×ATR(14)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Wide Stop (Trend Defender): </w:t>
      </w:r>
      <w:r>
        <w:t xml:space="preserve">Close − 2.5×ATR(14)</w:t>
      </w:r>
    </w:p>
    <w:p>
      <w:pPr>
        <w:pStyle w:val="Heading2"/>
      </w:pPr>
      <w:r>
        <w:t xml:space="preserve">2.3 Accumulation zones (both categories)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Zone 1 (Pullback): </w:t>
      </w:r>
      <w:r>
        <w:t xml:space="preserve">Close − 1.0×ATR(14) — early pullback entry inside an intact uptrend.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Zone 2 (POC): </w:t>
      </w:r>
      <w:r>
        <w:t xml:space="preserve">manual VRVP chart read — high-conviction add at institutional support. Not formulaic.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3. ATR — the structural ruler</w:t>
      </w:r>
    </w:p>
    <w:p>
      <w:pPr>
        <w:spacing w:after="160"/>
      </w:pPr>
      <w:r>
        <w:t xml:space="preserve">Average True Range measures an asset's typical daily movement (accounting for gaps) averaged over 14 days. Sizing stops as a multiple of ATR, rather than a flat percentage, means the stop distance reflects each asset's own volatility — a flat percentage would be too tight for naturally volatile assets and too loose for naturally calm ones. The flat 20% maximum-loss figure that appeared in earlier drafts of the Investor Profile is retired for this reason; ATR-based sizing supersedes it entirely (see Investor Profile, §III).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4. The “Seeking Confluence” Multi-Indicator Strategy</w:t>
      </w:r>
    </w:p>
    <w:p>
      <w:pPr>
        <w:spacing w:after="160"/>
      </w:pPr>
      <w:r>
        <w:t xml:space="preserve">Buy/sell/stop-adjustment timing is never decided off a single indicator. Each asset carries a Confluence Score built from the signals below; WSAPT stop/accumulation levels remain the structural skeleton everything else is read against. Confluence is decision support, not a replacement for the mechanical WSAPT trigger.</w:t>
      </w:r>
    </w:p>
    <w:p>
      <w:pPr>
        <w:pStyle w:val="Heading2"/>
      </w:pPr>
      <w:r>
        <w:t xml:space="preserve">4.1 Signal stack and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3400"/>
        <w:gridCol w:w="1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/ 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Confirms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Larsson 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CTO Larsson proprietary indicator (TradingView add-on)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proprietary trend-bias signal — tie-breaker when other signals conflict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 (anchor)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50/200 SMA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Native TradingView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Structural trend direction; Golden Cross / Death Cross context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VRVP (Volume Profile)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Native TradingView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POC and LVN levels — structural support/resistance and slippage risk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RSI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Native TradingView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Momentum exhaustion / divergence at the edges of a move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Bollinger Bands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Native TradingView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Volatility expansion/contraction context around entries and stops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Chart Patterns (tops/bottoms)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Manual/AI-assisted visual read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Confirms structural top or bottom formation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ATR (14)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Native TradingView, feeds WSAPT math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Sets stop/accumulation distances — the ruler, not a signal itself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Structural (always on)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The Larsson Line — proprietary, handle with care</w:t>
      </w:r>
    </w:p>
    <w:p>
      <w:pPr>
        <w:spacing w:after="160"/>
      </w:pPr>
      <w:r>
        <w:t xml:space="preserve">The Larsson Line is a paid, proprietary TradingView indicator (CTO Larsson subscription). It must never be reverse-engineered, reproduced, or approximated in any custom tool, script, or dashboard built for this project — doing so would breach its licensing and is out of scope, full stop, regardless of framing (“just an approximation,” “just for testing”).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Correct integration: read its reported chart state (Bullish/Bearish/Neutral, or a flip event) directly off TradingView and feed that state into the Confluence Score as a manual or webhook-fed input — never recreate its underlying calculation.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If TradingView's alert system can expose a Larsson Line flip as its own alertcondition(), that's the cleanest hand-off point into the Pine Script bridge (§6).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 any dashboard, spreadsheet column, or mockup, the Larsson Line field is always a status input — never a chart computed from raw price data.</w:t>
      </w:r>
    </w:p>
    <w:p>
      <w:pPr>
        <w:pStyle w:val="Heading2"/>
      </w:pPr>
      <w:r>
        <w:t xml:space="preserve">4.3 Confluence Score logic</w:t>
      </w:r>
    </w:p>
    <w:p>
      <w:pPr>
        <w:spacing w:after="160"/>
      </w:pPr>
      <w:r>
        <w:t xml:space="preserve">Score each signal Bullish (+1) / Neutral (0) / Bearish (−1), weight per §4.1, sum: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Strong (≥ +3): </w:t>
      </w:r>
      <w:r>
        <w:t xml:space="preserve">supports Zone 1/2 accumulation or holding through normal volatility.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Mixed/Watch (−2 to +2): </w:t>
      </w:r>
      <w:r>
        <w:t xml:space="preserve">no new action; tighten attention, not necessarily stops.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Weak (≤ −3): </w:t>
      </w:r>
      <w:r>
        <w:t xml:space="preserve">supports ratcheting the Active Trailing tight stop up, or reassessing a Core Accumulation position — does not by itself force a sale.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5. Workstreams</w:t>
      </w:r>
    </w:p>
    <w:p>
      <w:pPr>
        <w:spacing w:after="160"/>
      </w:pPr>
      <w:r>
        <w:t xml:space="preserve">Listed in dependency order, not by an arbitrary cap. “Parallel-safe” workstreams have no dependency on the others and can be picked up any time. See DEVELOPMENT_PLAN.md in the project repository for the day-to-day phased checklist version of this section — this is the what-and-why; that document is the how-and-when.</w:t>
      </w:r>
    </w:p>
    <w:p>
      <w:pPr>
        <w:pStyle w:val="Heading2"/>
      </w:pPr>
      <w:r>
        <w:t xml:space="preserve">5.1 WSAPT Risk &amp; Accumulation Engine</w:t>
      </w:r>
    </w:p>
    <w:p>
      <w:pPr>
        <w:spacing w:after="160"/>
      </w:pPr>
      <w:r>
        <w:t xml:space="preserve">Status: substantially built. The dual-category model (§2), ATR-based formulas (§3), and Master_Watchlist columns (§9) are in place. Remaining: calibrate each Core Accumulation asset's wide-stop POC buffer against its real chart (not a default multiplier); decide and apply a standard Bullish/Neutral/Bearish text convention for columns P–S.</w:t>
      </w:r>
    </w:p>
    <w:p>
      <w:pPr>
        <w:pStyle w:val="Heading2"/>
      </w:pPr>
      <w:r>
        <w:t xml:space="preserve">5.2 Dual-Asset Visual Dashboard</w:t>
      </w:r>
    </w:p>
    <w:p>
      <w:pPr>
        <w:spacing w:after="160"/>
      </w:pPr>
      <w:r>
        <w:t xml:space="preserve">Status: working self-contained prototype exists, built against a static Master_Watchlist export. Not yet wired to a live feed. Remaining: SMA/RSI/Bollinger/Fibonacci toggles, fundamental and macro commentary panels, full crypto asset list cross-check, live data wiring (depends on §5.3).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Tabbed interface separating Crypto (BTC, SOL, ETH, JUP, USDC, SUI, PYTH, RAY, GRT, SKR, NOS) from Shares (Semiconductors, Big Tech, Regional Utilities) — built.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Volume Profile integration (POC/LVN) — partially built, reads from Master_Watchlist column 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Dual-update data pipeline: native Google Sheets connection, and TradingView CSV importer — the Sheets side exists; CSV import path not yet automated.</w:t>
      </w:r>
    </w:p>
    <w:p>
      <w:pPr>
        <w:pStyle w:val="Heading2"/>
      </w:pPr>
      <w:r>
        <w:t xml:space="preserve">5.3 TradingView Alert &amp; Mobile Notification Bridge</w:t>
      </w:r>
    </w:p>
    <w:p>
      <w:pPr>
        <w:spacing w:after="160"/>
      </w:pPr>
      <w:r>
        <w:t xml:space="preserve">Status: not yet started. Custom Pine Script overlay to plot WSAPT levels, alertcondition() blocks for Stop-Loss Breach / Accumulation Buy Trigger / Trend Break / Confluence Read change, and webhook → Pushover delivery to mobile. This is a prerequisite for making §5.2 genuinely live, not an optional add-on — see DEVELOPMENT_PLAN.md §Phase 2 for sequencing.</w:t>
      </w:r>
    </w:p>
    <w:p>
      <w:pPr>
        <w:pStyle w:val="Heading2"/>
      </w:pPr>
      <w:r>
        <w:t xml:space="preserve">5.4 Macro &amp; Environmental Intelligence (parallel-safe)</w:t>
      </w:r>
    </w:p>
    <w:p>
      <w:pPr>
        <w:spacing w:after="160"/>
      </w:pPr>
      <w:r>
        <w:t xml:space="preserve">Status: partially built (FX/commodity panel for NZD/USD, NZD/AUD, WTI, Copper, Gold; editable theses cards). Remaining: El Niño/hydro tracking scope decision, NZ regional macro (RBNZ policy, swap rates) representation, AI/frontier infrastructure tracking depth, and — specifically called out as still missing — an explicit link between each macro thesis and the watchlist assets it should influence (e.g. tagging CEN/MEL against the Regional Hydrology thesis).</w:t>
      </w:r>
    </w:p>
    <w:p>
      <w:pPr>
        <w:pStyle w:val="Heading2"/>
      </w:pPr>
      <w:r>
        <w:t xml:space="preserve">5.5 Returns, Dividend Cash Flow &amp; Drawdown Calculator</w:t>
      </w:r>
    </w:p>
    <w:p>
      <w:pPr>
        <w:spacing w:after="160"/>
      </w:pPr>
      <w:r>
        <w:t xml:space="preserve">Status: not yet started; depends on §5.6 for Jacson3/Personal annualised return data. Pulls Sharesight's own annualised return via its API (§8.2) rather than rebuilding XIRR — no longer fully parallel-safe, since it needs real holdings data to mean anything for the two main portfolios. STRC ex-dividend/DRIP tracking and per-asset drawdown (reusing the existing Peak Price column) remain independent and can proceed without §5.6.</w:t>
      </w:r>
    </w:p>
    <w:p>
      <w:pPr>
        <w:pStyle w:val="Heading2"/>
      </w:pPr>
      <w:r>
        <w:t xml:space="preserve">5.6 Portfolio Holdings &amp; Sharesight Integration</w:t>
      </w:r>
    </w:p>
    <w:p>
      <w:pPr>
        <w:spacing w:after="160"/>
      </w:pPr>
      <w:r>
        <w:t xml:space="preserve">Status: tabs scaffolded (Jacson3_Holdings, Personal_Holdings), not yet populated with real data. Prerequisite for §5.5's return figures. Requires: Sharesight portfolio cleanup (ASB Securities decision), connecting Moomoo to Sharesight, and requesting Sharesight API access for the account's own data. See §8 and CHECKLISTS/05c-portfolio-holdings.md.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6. Pine Script Bridge — design notes</w:t>
      </w:r>
    </w:p>
    <w:p>
      <w:pPr>
        <w:spacing w:after="160"/>
      </w:pPr>
      <w:r>
        <w:t xml:space="preserve">Detailed build steps live in the project checklist (CHECKLISTS/02-pine-script-alerts.md); the design constraints that don't change are: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Recompute ATR(14) and the relevant stop formula on-chart using ta.atr(14) — don't just plot values copied from the sheet, so the chart and the sheet act as two independent checks on the same math.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Larsson Line is never computed in Pine Script (§4.2) — only ever a separate input or alert.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Webhook payloads should include enough structure (ticker, alert type, price, timestamp) for any downstream consumer (the dashboard, a future automation) to parse without guessing.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8. Portfolio Holdings &amp; Cross-Portfolio Structure</w:t>
      </w:r>
    </w:p>
    <w:p>
      <w:pPr>
        <w:spacing w:after="160"/>
      </w:pPr>
      <w:r>
        <w:t xml:space="preserve">Master_Watchlist's original single table (now the Holding-Status-aware reference layer described in §2 and §7) tracks technical/confluence data per ticker, regardless of who holds what. It does not track actual holdings — quantity, cost basis, or portfolio-specific return. Two additional tabs cover that: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Jacson3_Holdings: </w:t>
      </w:r>
      <w:r>
        <w:t xml:space="preserve">the company portfolio. Sourced from Sharesight, which aggregates the Jacson3-entity brokers (currently “Jacson3 Sharesies” and “Jacson3 Crypto” Sharesight portfolios; “Jacson3 ASB Securities” exists but is pending a cleanup decision — reportedly sold down to empty, not yet formally retired).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Personal_Holdings: </w:t>
      </w:r>
      <w:r>
        <w:t xml:space="preserve">holdings outside the Jacson3 entity, currently via Moomoo. Sharesight has a direct Moomoo integration (same mechanism as the existing Sharesies connection) — not yet connected as of this revision; see CHECKLISTS/05c-portfolio-holdings.md.</w:t>
      </w:r>
    </w:p>
    <w:p>
      <w:pPr>
        <w:spacing w:after="160"/>
      </w:pPr>
      <w:r>
        <w:t xml:space="preserve">Both tabs key by ticker and look up technical/WSAPT data from Master_Watchlist by formula rather than duplicating it — one ticker, one technical record, referenced from wherever it's actually held. A ticker can appear in a Holdings tab and still only have one row in Master_Watchlist.</w:t>
      </w:r>
    </w:p>
    <w:p>
      <w:pPr>
        <w:pStyle w:val="Heading2"/>
      </w:pPr>
      <w:r>
        <w:t xml:space="preserve">8.1 Why holdings data routes through Sharesight, not a custom broker API</w:t>
      </w:r>
    </w:p>
    <w:p>
      <w:pPr>
        <w:spacing w:after="160"/>
      </w:pPr>
      <w:r>
        <w:t xml:space="preserve">Sharesies has no official public API — only unofficial, reverse-engineered clients exist, which are fragile and risk breaching Sharesies' terms of service. Moomoo does have an official OpenAPI, but it requires running a local gateway program (OpenD) with live trading credentials — real infrastructure, not a simple key. Both brokers already have official, sanctioned direct integrations with Sharesight instead (trade history auto-syncs, T+1), and Sharesight itself has a real API available to its own customers for pulling their own data. That's the path this project uses: Sharesies/Moomoo → Sharesight (auto-sync) → Sharesight API → Jacson3_Holdings / Personal_Holdings.</w:t>
      </w:r>
    </w:p>
    <w:p>
      <w:pPr>
        <w:pStyle w:val="Heading2"/>
      </w:pPr>
      <w:r>
        <w:t xml:space="preserve">8.2 Annualised return — sourced, not rebuilt</w:t>
      </w:r>
    </w:p>
    <w:p>
      <w:pPr>
        <w:spacing w:after="160"/>
      </w:pPr>
      <w:r>
        <w:t xml:space="preserve">Sharesight already computes accurate annualised returns from real per-lot trade dates (it has every individual buy/sell timestamp via the broker sync). This project pulls that figure via the Sharesight API rather than rebuilding XIRR math from an averaged cost basis — an averaged basis loses the timing information XIRR actually needs, so reconstructing it independently would be both redundant and less accurate than the number Sharesight already has. See §5.5 and CHECKLISTS/05b-returns-calculator.md.</w:t>
      </w:r>
    </w:p>
    <w:p>
      <w:pPr>
        <w:pStyle w:val="Heading2"/>
      </w:pPr>
      <w:r>
        <w:t xml:space="preserve">8.3 Aggregation across portfolios</w:t>
      </w:r>
    </w:p>
    <w:p>
      <w:pPr>
        <w:spacing w:after="160"/>
      </w:pPr>
      <w:r>
        <w:t xml:space="preserve">Deliberately deferred until both Jacson3_Holdings and Personal_Holdings have real data. When built, the aggregate must be value-weighted (or computed as one combined cash-flow series), not a naive average of two annualised percentages — a simple average misstates the blended return whenever the two portfolios are different sizes, which they will be.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9. Master_Watchlist Column Reference</w:t>
      </w:r>
    </w:p>
    <w:p>
      <w:pPr>
        <w:spacing w:after="160"/>
      </w:pPr>
      <w:r>
        <w:t xml:space="preserve">Columns A–N are the original asset table — never change their meaning or position. Columns O–V are the additive confluence/holding-status block (this supersedes the O–U numbering in the original Addendum A; column O is now Holding Status, shifting the signal columns one place right):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A–N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Original asset 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Unchanged — ticker, name, category, prices, ATR, stop/accum columns, PE/macro notes, timestamp,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Holding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Core Accumulation or Active Trailing (§2). Set once at purchase; changed only deliberately.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Larsson Line Signal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 entry or TradingView webhook — Bullish/Bearish/Neutral text only, never computed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RSI (14)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TradingView CSV import or manual entry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Bollinger Position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 read: Upper/Mid/Lower band proximity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VRVP POC Distance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 read from TradingView VRVP overlay — also feeds the Core Accumulation wide-stop buffer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Pattern Note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text, e.g. “Double top forming”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Confluence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Weighted sum of signals, §4.3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Confluence Read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=IF(U≥3,“Strong”,IF(U&lt;=-3,“Weak”,“Mixed/Watch”))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6B7280"/>
        </w:rPr>
        <w:t xml:space="preserve">Known collision history: the FX/Commodity Timing widget (NZD/USD, NZD/AUD, WTI, Copper, Gold) previously collided with this column range and was relocated to start at column W. Before adding any new column to Master_Watchlist, check what currently occupies the target range — this has already happened once.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10. Known Issues &amp; Watch Items</w:t>
      </w:r>
    </w:p>
    <w:p>
      <w:pPr>
        <w:spacing w:after="160"/>
      </w:pPr>
      <w:r>
        <w:t xml:space="preserve">Carried forward so they aren't silently lost between sessions.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CEN and MEL have no live price yet — deliberately left blank rather than filled from an unverified web search. Needed before Pine Script testing can cover these two assets.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BABA is named in the Investor Profile but was missing from Master_Watchlist until this revision — now added as Active Trailing.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Columns P–S (RSI/Bollinger/VRVP/Pattern) don't yet have a standardised Bullish/Neutral/Bearish text convention, which limits how much of the Confluence Score (§4.3) can currently be automated versus entered manually.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Two real formula bugs were previously found and fixed in Master_Watchlist's FX widget (row-reference errors causing WTI and Gold to read the wrong row). Recalculate and spot-check after any formula edit — don't assume a dragged-down formula is correct.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“Jacson3 ASB Securities” Sharesight portfolio is reportedly empty (sold down) but not yet formally retired or excluded — a deliberately open cleanup decision, not an oversight.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Personal_Holdings has no real data until Moomoo is connected to Sharesight (§8.1) — the example row in that tab is a worked formula demonstration, not an actual position.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11. Change Log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Removed the 5-objective cap; restructured as open-ended “workstreams” in dependency order (§5).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Folded the original Addendum A in full into this document; Addendum A is retired as a standalone file.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Replaced the implicit three-tier holding logic (no-stop / long-term accumulator / medium-term AI) with two explicit categories — Core Accumulation and Active Trailing — each with a clearly different stop-formula shape, not just a different number (§2).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BTC moved into Core Accumulation, retaining a wide backstop stop rather than no stop at all, in case the underlying investment thesis breaks down.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Core Accumulation's wide stop redefined as “below POC, with a buffer,” calibrated per-asset against the real chart — not a single fixed ATR multiplier applied uniformly.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Added Master_Watchlist column O (Holding Status); shifted the original confluence signal columns from O–U to P–V accordingly.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Added BABA to the watchlist as Active Trailing.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Added Jacson3_Holdings and Personal_Holdings tabs, separating actual portfolio positions from the technical/confluence reference layer Master_Watchlist remains. Both look up technical data by ticker rather than duplicating it (§8).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Decided portfolio holdings route through Sharesight (already connected for Sharesies; Moomoo connection pending) rather than a custom broker API — Sharesies has no public API, and Moomoo's official API requires local gateway infrastructure neither broker's direct Sharesight integration does.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Decided annualised returns for Jacson3/Personal are pulled from Sharesight's own calculation, not rebuilt from an averaged cost basis in this project — Sharesight already has the real per-lot trade timing XIRR needs.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Jacson3 Portfolio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F3B57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10" w:before="200"/>
      <w:outlineLvl w:val="2"/>
    </w:pPr>
    <w:rPr>
      <w:rFonts w:ascii="Calibri" w:cs="Calibri" w:eastAsia="Calibri" w:hAnsi="Calibri"/>
      <w:b/>
      <w:bCs/>
      <w:color w:val="3D5A7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2026-06-25T00:08:49.064Z</dcterms:created>
  <dcterms:modified xsi:type="dcterms:W3CDTF">2026-06-25T00:08:49.065Z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