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0A1E" w:rsidRPr="00180A1E" w:rsidRDefault="00180A1E" w:rsidP="00EB2093">
      <w:pPr>
        <w:pStyle w:val="Heading1"/>
      </w:pPr>
      <w:bookmarkStart w:id="0" w:name="_Toc204582388"/>
      <w:r w:rsidRPr="00180A1E">
        <w:t>Gas Chromatography (GC)</w:t>
      </w:r>
      <w:bookmarkEnd w:id="0"/>
    </w:p>
    <w:p w:rsidR="00180A1E" w:rsidRPr="00180A1E" w:rsidRDefault="00180A1E" w:rsidP="00180A1E">
      <w:pPr>
        <w:ind w:left="0" w:firstLine="0"/>
        <w:rPr>
          <w:i/>
        </w:rPr>
      </w:pPr>
      <w:r w:rsidRPr="00180A1E">
        <w:rPr>
          <w:i/>
        </w:rPr>
        <w:t xml:space="preserve">Gas Chromatography (GC) is an analytical technique used primarily for the </w:t>
      </w:r>
      <w:r w:rsidRPr="00180A1E">
        <w:rPr>
          <w:b/>
          <w:bCs/>
          <w:i/>
        </w:rPr>
        <w:t>separation of chemical mixtures</w:t>
      </w:r>
      <w:r w:rsidRPr="00180A1E">
        <w:rPr>
          <w:i/>
        </w:rPr>
        <w:t xml:space="preserve">. It is a highly improved form of column liquid chromatography and involves the distribution of the sample mixture between two phases: a </w:t>
      </w:r>
      <w:r w:rsidRPr="00180A1E">
        <w:rPr>
          <w:b/>
          <w:bCs/>
          <w:i/>
        </w:rPr>
        <w:t>stationary phase</w:t>
      </w:r>
      <w:r w:rsidRPr="00180A1E">
        <w:rPr>
          <w:i/>
        </w:rPr>
        <w:t xml:space="preserve"> and a </w:t>
      </w:r>
      <w:r w:rsidRPr="00180A1E">
        <w:rPr>
          <w:b/>
          <w:bCs/>
          <w:i/>
        </w:rPr>
        <w:t>mobile phase</w:t>
      </w:r>
      <w:r w:rsidRPr="00180A1E">
        <w:rPr>
          <w:i/>
        </w:rPr>
        <w:t>. The technique was initially conceived by Russian botanist Mikhail Tswett for separating compounds.</w:t>
      </w:r>
    </w:p>
    <w:p w:rsidR="00180A1E" w:rsidRPr="00180A1E" w:rsidRDefault="00180A1E" w:rsidP="00EB2093">
      <w:pPr>
        <w:pStyle w:val="Heading2"/>
      </w:pPr>
      <w:bookmarkStart w:id="1" w:name="_Toc204582389"/>
      <w:r w:rsidRPr="00180A1E">
        <w:t>Principle of Gas Chromatography (GC)</w:t>
      </w:r>
      <w:bookmarkEnd w:id="1"/>
    </w:p>
    <w:p w:rsidR="00180A1E" w:rsidRPr="00180A1E" w:rsidRDefault="00180A1E" w:rsidP="00180A1E">
      <w:pPr>
        <w:ind w:left="0" w:firstLine="0"/>
        <w:rPr>
          <w:i/>
        </w:rPr>
      </w:pPr>
      <w:r w:rsidRPr="00180A1E">
        <w:rPr>
          <w:i/>
        </w:rPr>
        <w:t xml:space="preserve">The fundamental principle of GC is </w:t>
      </w:r>
      <w:r w:rsidRPr="00180A1E">
        <w:rPr>
          <w:b/>
          <w:bCs/>
          <w:i/>
        </w:rPr>
        <w:t>polarity</w:t>
      </w:r>
      <w:r w:rsidRPr="00180A1E">
        <w:rPr>
          <w:i/>
        </w:rPr>
        <w:t xml:space="preserve">. The separation of compounds occurs as they are carried by a mobile phase (carrier gas) through a column (stationary phase). Compounds separate based on their differential interaction (adsorption/desorption) with the stationary phase and their volatility. Substances less attracted to the solid stationary phase or more soluble in the liquid stationary phase move faster. This results in each component having a unique </w:t>
      </w:r>
      <w:r w:rsidRPr="00180A1E">
        <w:rPr>
          <w:b/>
          <w:bCs/>
          <w:i/>
        </w:rPr>
        <w:t>retention time</w:t>
      </w:r>
      <w:r w:rsidRPr="00180A1E">
        <w:rPr>
          <w:i/>
        </w:rPr>
        <w:t xml:space="preserve"> – the time between sample injection and its detection. Only </w:t>
      </w:r>
      <w:r w:rsidRPr="00180A1E">
        <w:rPr>
          <w:b/>
          <w:bCs/>
          <w:i/>
        </w:rPr>
        <w:t>thermo-stable or heat-stable compounds can be separated</w:t>
      </w:r>
      <w:r w:rsidRPr="00180A1E">
        <w:rPr>
          <w:i/>
        </w:rPr>
        <w:t xml:space="preserve"> using GC, as it operates at high temperatures, up to 300°C.</w:t>
      </w:r>
    </w:p>
    <w:p w:rsidR="00180A1E" w:rsidRPr="00180A1E" w:rsidRDefault="00180A1E" w:rsidP="00EB2093">
      <w:pPr>
        <w:pStyle w:val="Heading2"/>
      </w:pPr>
      <w:bookmarkStart w:id="2" w:name="_Toc204582390"/>
      <w:r w:rsidRPr="00180A1E">
        <w:t>Instrumentation of GC</w:t>
      </w:r>
      <w:bookmarkEnd w:id="2"/>
    </w:p>
    <w:p w:rsidR="00180A1E" w:rsidRPr="00180A1E" w:rsidRDefault="00180A1E" w:rsidP="00180A1E">
      <w:pPr>
        <w:ind w:left="0" w:firstLine="0"/>
        <w:rPr>
          <w:i/>
        </w:rPr>
      </w:pPr>
      <w:r w:rsidRPr="00180A1E">
        <w:rPr>
          <w:i/>
        </w:rPr>
        <w:t>A typical GC system comprises several primary components:</w:t>
      </w:r>
    </w:p>
    <w:p w:rsidR="00180A1E" w:rsidRPr="00180A1E" w:rsidRDefault="00180A1E" w:rsidP="00180A1E">
      <w:pPr>
        <w:numPr>
          <w:ilvl w:val="0"/>
          <w:numId w:val="1"/>
        </w:numPr>
        <w:rPr>
          <w:i/>
        </w:rPr>
      </w:pPr>
      <w:r w:rsidRPr="00EB2093">
        <w:rPr>
          <w:rStyle w:val="Heading3Char"/>
        </w:rPr>
        <w:t>Carrier Gas System</w:t>
      </w:r>
      <w:r w:rsidRPr="00180A1E">
        <w:rPr>
          <w:i/>
        </w:rPr>
        <w:t>:</w:t>
      </w:r>
    </w:p>
    <w:p w:rsidR="00180A1E" w:rsidRPr="00180A1E" w:rsidRDefault="00180A1E" w:rsidP="00180A1E">
      <w:pPr>
        <w:numPr>
          <w:ilvl w:val="1"/>
          <w:numId w:val="1"/>
        </w:numPr>
        <w:rPr>
          <w:i/>
        </w:rPr>
      </w:pPr>
      <w:r w:rsidRPr="00180A1E">
        <w:rPr>
          <w:i/>
        </w:rPr>
        <w:t xml:space="preserve">The </w:t>
      </w:r>
      <w:r w:rsidRPr="00180A1E">
        <w:rPr>
          <w:b/>
          <w:bCs/>
          <w:i/>
        </w:rPr>
        <w:t>mobile phase</w:t>
      </w:r>
      <w:r w:rsidRPr="00180A1E">
        <w:rPr>
          <w:i/>
        </w:rPr>
        <w:t xml:space="preserve"> in GC is a gas, with common choices being </w:t>
      </w:r>
      <w:r w:rsidRPr="00180A1E">
        <w:rPr>
          <w:b/>
          <w:bCs/>
          <w:i/>
        </w:rPr>
        <w:t>Hydrogen, Nitrogen, or Helium</w:t>
      </w:r>
      <w:r w:rsidRPr="00180A1E">
        <w:rPr>
          <w:i/>
        </w:rPr>
        <w:t xml:space="preserve">. </w:t>
      </w:r>
    </w:p>
    <w:p w:rsidR="00180A1E" w:rsidRPr="00180A1E" w:rsidRDefault="00180A1E" w:rsidP="00180A1E">
      <w:pPr>
        <w:numPr>
          <w:ilvl w:val="2"/>
          <w:numId w:val="1"/>
        </w:numPr>
        <w:rPr>
          <w:i/>
        </w:rPr>
      </w:pPr>
      <w:r w:rsidRPr="00180A1E">
        <w:rPr>
          <w:b/>
          <w:bCs/>
          <w:i/>
        </w:rPr>
        <w:t>Hydrogen</w:t>
      </w:r>
      <w:r w:rsidRPr="00180A1E">
        <w:rPr>
          <w:i/>
        </w:rPr>
        <w:t xml:space="preserve"> provides excellent results but poses a fire hazard and can react with unsaturated compounds (reduction/hydrogenation).</w:t>
      </w:r>
    </w:p>
    <w:p w:rsidR="00180A1E" w:rsidRPr="00180A1E" w:rsidRDefault="00180A1E" w:rsidP="00180A1E">
      <w:pPr>
        <w:numPr>
          <w:ilvl w:val="2"/>
          <w:numId w:val="1"/>
        </w:numPr>
        <w:rPr>
          <w:i/>
        </w:rPr>
      </w:pPr>
      <w:r w:rsidRPr="00180A1E">
        <w:rPr>
          <w:b/>
          <w:bCs/>
          <w:i/>
        </w:rPr>
        <w:t>Nitrogen</w:t>
      </w:r>
      <w:r w:rsidRPr="00180A1E">
        <w:rPr>
          <w:i/>
        </w:rPr>
        <w:t xml:space="preserve"> is economical but provides less excellent results and is not considered a very good carrier gas.</w:t>
      </w:r>
    </w:p>
    <w:p w:rsidR="00180A1E" w:rsidRPr="00180A1E" w:rsidRDefault="00180A1E" w:rsidP="00180A1E">
      <w:pPr>
        <w:numPr>
          <w:ilvl w:val="2"/>
          <w:numId w:val="1"/>
        </w:numPr>
        <w:rPr>
          <w:i/>
        </w:rPr>
      </w:pPr>
      <w:r w:rsidRPr="00180A1E">
        <w:rPr>
          <w:b/>
          <w:bCs/>
          <w:i/>
        </w:rPr>
        <w:t>Helium</w:t>
      </w:r>
      <w:r w:rsidRPr="00180A1E">
        <w:rPr>
          <w:i/>
        </w:rPr>
        <w:t xml:space="preserve"> is inert and yields excellent results, though it is expensive.</w:t>
      </w:r>
    </w:p>
    <w:p w:rsidR="00180A1E" w:rsidRPr="00180A1E" w:rsidRDefault="00180A1E" w:rsidP="00180A1E">
      <w:pPr>
        <w:numPr>
          <w:ilvl w:val="1"/>
          <w:numId w:val="1"/>
        </w:numPr>
        <w:rPr>
          <w:i/>
        </w:rPr>
      </w:pPr>
      <w:r w:rsidRPr="00180A1E">
        <w:rPr>
          <w:i/>
        </w:rPr>
        <w:t xml:space="preserve">High purity carrier gas (e.g., </w:t>
      </w:r>
      <w:r w:rsidRPr="00180A1E">
        <w:rPr>
          <w:b/>
          <w:bCs/>
          <w:i/>
        </w:rPr>
        <w:t>99.9995% UHP grade</w:t>
      </w:r>
      <w:r w:rsidRPr="00180A1E">
        <w:rPr>
          <w:i/>
        </w:rPr>
        <w:t xml:space="preserve">) is crucial, and </w:t>
      </w:r>
      <w:r w:rsidRPr="00180A1E">
        <w:rPr>
          <w:b/>
          <w:bCs/>
          <w:i/>
        </w:rPr>
        <w:t>O2 &amp; moisture traps</w:t>
      </w:r>
      <w:r w:rsidRPr="00180A1E">
        <w:rPr>
          <w:i/>
        </w:rPr>
        <w:t xml:space="preserve"> are used to prevent column damage, especially when heated above 70°C. The selection of carrier gas is based on its purity.</w:t>
      </w:r>
    </w:p>
    <w:p w:rsidR="00180A1E" w:rsidRPr="00180A1E" w:rsidRDefault="00180A1E" w:rsidP="00180A1E">
      <w:pPr>
        <w:numPr>
          <w:ilvl w:val="0"/>
          <w:numId w:val="1"/>
        </w:numPr>
        <w:rPr>
          <w:i/>
        </w:rPr>
      </w:pPr>
      <w:r w:rsidRPr="00EB2093">
        <w:rPr>
          <w:rStyle w:val="Heading3Char"/>
        </w:rPr>
        <w:t>Sample Introduction System</w:t>
      </w:r>
      <w:r w:rsidRPr="00180A1E">
        <w:rPr>
          <w:i/>
        </w:rPr>
        <w:t>:</w:t>
      </w:r>
    </w:p>
    <w:p w:rsidR="00180A1E" w:rsidRPr="00180A1E" w:rsidRDefault="00180A1E" w:rsidP="00180A1E">
      <w:pPr>
        <w:numPr>
          <w:ilvl w:val="1"/>
          <w:numId w:val="1"/>
        </w:numPr>
        <w:rPr>
          <w:i/>
        </w:rPr>
      </w:pPr>
      <w:r w:rsidRPr="00180A1E">
        <w:rPr>
          <w:i/>
        </w:rPr>
        <w:t xml:space="preserve">A known volume of liquid mixture (typically </w:t>
      </w:r>
      <w:r w:rsidRPr="00180A1E">
        <w:rPr>
          <w:b/>
          <w:bCs/>
          <w:i/>
        </w:rPr>
        <w:t>0.5-2 µl</w:t>
      </w:r>
      <w:r w:rsidRPr="00180A1E">
        <w:rPr>
          <w:i/>
        </w:rPr>
        <w:t>) is injected into the head of the column.</w:t>
      </w:r>
    </w:p>
    <w:p w:rsidR="00180A1E" w:rsidRPr="00180A1E" w:rsidRDefault="00180A1E" w:rsidP="00180A1E">
      <w:pPr>
        <w:numPr>
          <w:ilvl w:val="1"/>
          <w:numId w:val="1"/>
        </w:numPr>
        <w:rPr>
          <w:i/>
        </w:rPr>
      </w:pPr>
      <w:r w:rsidRPr="00180A1E">
        <w:rPr>
          <w:i/>
        </w:rPr>
        <w:t xml:space="preserve">For capillary GC, it is recommended to fill the syringe with solvent before the sample. Sample preparation is crucial, and samples should ideally be dissolved in the same solvent or mixture as the mobile phase. Aqueous solutions and salts generally </w:t>
      </w:r>
      <w:r w:rsidRPr="00180A1E">
        <w:rPr>
          <w:b/>
          <w:bCs/>
          <w:i/>
        </w:rPr>
        <w:t>cannot be injected</w:t>
      </w:r>
      <w:r w:rsidRPr="00180A1E">
        <w:rPr>
          <w:i/>
        </w:rPr>
        <w:t xml:space="preserve"> into the instrument.</w:t>
      </w:r>
    </w:p>
    <w:p w:rsidR="00180A1E" w:rsidRPr="00180A1E" w:rsidRDefault="00180A1E" w:rsidP="00180A1E">
      <w:pPr>
        <w:numPr>
          <w:ilvl w:val="0"/>
          <w:numId w:val="1"/>
        </w:numPr>
        <w:rPr>
          <w:i/>
        </w:rPr>
      </w:pPr>
      <w:r w:rsidRPr="00EB2093">
        <w:rPr>
          <w:rStyle w:val="Heading3Char"/>
        </w:rPr>
        <w:t>Column (Stationary Phase)</w:t>
      </w:r>
      <w:r w:rsidRPr="00180A1E">
        <w:rPr>
          <w:i/>
        </w:rPr>
        <w:t>:</w:t>
      </w:r>
    </w:p>
    <w:p w:rsidR="00180A1E" w:rsidRPr="00180A1E" w:rsidRDefault="00180A1E" w:rsidP="00180A1E">
      <w:pPr>
        <w:numPr>
          <w:ilvl w:val="1"/>
          <w:numId w:val="1"/>
        </w:numPr>
        <w:rPr>
          <w:i/>
        </w:rPr>
      </w:pPr>
      <w:r w:rsidRPr="00180A1E">
        <w:rPr>
          <w:i/>
        </w:rPr>
        <w:t xml:space="preserve">This is the </w:t>
      </w:r>
      <w:r w:rsidRPr="00180A1E">
        <w:rPr>
          <w:b/>
          <w:bCs/>
          <w:i/>
        </w:rPr>
        <w:t>most critical component</w:t>
      </w:r>
      <w:r w:rsidRPr="00180A1E">
        <w:rPr>
          <w:i/>
        </w:rPr>
        <w:t xml:space="preserve"> where separation occurs. The column is typically in a </w:t>
      </w:r>
      <w:r w:rsidRPr="00180A1E">
        <w:rPr>
          <w:b/>
          <w:bCs/>
          <w:i/>
        </w:rPr>
        <w:t>coil form</w:t>
      </w:r>
      <w:r w:rsidRPr="00180A1E">
        <w:rPr>
          <w:i/>
        </w:rPr>
        <w:t xml:space="preserve">, placed inside a specially controlled </w:t>
      </w:r>
      <w:r w:rsidRPr="00180A1E">
        <w:rPr>
          <w:b/>
          <w:bCs/>
          <w:i/>
        </w:rPr>
        <w:t>oven</w:t>
      </w:r>
      <w:r w:rsidRPr="00180A1E">
        <w:rPr>
          <w:i/>
        </w:rPr>
        <w:t>.</w:t>
      </w:r>
    </w:p>
    <w:p w:rsidR="00180A1E" w:rsidRPr="00180A1E" w:rsidRDefault="00180A1E" w:rsidP="00180A1E">
      <w:pPr>
        <w:numPr>
          <w:ilvl w:val="1"/>
          <w:numId w:val="1"/>
        </w:numPr>
        <w:rPr>
          <w:i/>
        </w:rPr>
      </w:pPr>
      <w:r w:rsidRPr="00180A1E">
        <w:rPr>
          <w:i/>
        </w:rPr>
        <w:t xml:space="preserve">The inner layer is usually </w:t>
      </w:r>
      <w:r w:rsidRPr="00180A1E">
        <w:rPr>
          <w:b/>
          <w:bCs/>
          <w:i/>
        </w:rPr>
        <w:t>silica</w:t>
      </w:r>
      <w:r w:rsidRPr="00180A1E">
        <w:rPr>
          <w:i/>
        </w:rPr>
        <w:t>, which is a weakly polar compound.</w:t>
      </w:r>
    </w:p>
    <w:p w:rsidR="00180A1E" w:rsidRPr="00180A1E" w:rsidRDefault="00180A1E" w:rsidP="00180A1E">
      <w:pPr>
        <w:numPr>
          <w:ilvl w:val="1"/>
          <w:numId w:val="1"/>
        </w:numPr>
        <w:rPr>
          <w:i/>
        </w:rPr>
      </w:pPr>
      <w:r w:rsidRPr="00180A1E">
        <w:rPr>
          <w:b/>
          <w:bCs/>
          <w:i/>
        </w:rPr>
        <w:t>Types of Columns</w:t>
      </w:r>
      <w:r w:rsidRPr="00180A1E">
        <w:rPr>
          <w:i/>
        </w:rPr>
        <w:t>: Metal or glass tubing (stainless steel) and glass columns are used.</w:t>
      </w:r>
    </w:p>
    <w:p w:rsidR="00180A1E" w:rsidRPr="00180A1E" w:rsidRDefault="00180A1E" w:rsidP="00180A1E">
      <w:pPr>
        <w:numPr>
          <w:ilvl w:val="1"/>
          <w:numId w:val="1"/>
        </w:numPr>
        <w:rPr>
          <w:i/>
        </w:rPr>
      </w:pPr>
      <w:r w:rsidRPr="00180A1E">
        <w:rPr>
          <w:b/>
          <w:bCs/>
          <w:i/>
        </w:rPr>
        <w:t>Types of GC (based on stationary phase)</w:t>
      </w:r>
      <w:r w:rsidRPr="00180A1E">
        <w:rPr>
          <w:i/>
        </w:rPr>
        <w:t xml:space="preserve">: </w:t>
      </w:r>
    </w:p>
    <w:p w:rsidR="00180A1E" w:rsidRPr="00180A1E" w:rsidRDefault="00180A1E" w:rsidP="00180A1E">
      <w:pPr>
        <w:numPr>
          <w:ilvl w:val="2"/>
          <w:numId w:val="1"/>
        </w:numPr>
        <w:rPr>
          <w:i/>
        </w:rPr>
      </w:pPr>
      <w:r w:rsidRPr="00180A1E">
        <w:rPr>
          <w:b/>
          <w:bCs/>
          <w:i/>
        </w:rPr>
        <w:t>Gas-Solid Chromatography (GSC)</w:t>
      </w:r>
      <w:r w:rsidRPr="00180A1E">
        <w:rPr>
          <w:i/>
        </w:rPr>
        <w:t>: The mobile phase is gas, and the stationary phase is solid silica.</w:t>
      </w:r>
    </w:p>
    <w:p w:rsidR="00180A1E" w:rsidRPr="00180A1E" w:rsidRDefault="00180A1E" w:rsidP="00180A1E">
      <w:pPr>
        <w:numPr>
          <w:ilvl w:val="2"/>
          <w:numId w:val="1"/>
        </w:numPr>
        <w:rPr>
          <w:i/>
        </w:rPr>
      </w:pPr>
      <w:r w:rsidRPr="00180A1E">
        <w:rPr>
          <w:b/>
          <w:bCs/>
          <w:i/>
        </w:rPr>
        <w:t>Gas-Liquid Chromatography (GLC)</w:t>
      </w:r>
      <w:r w:rsidRPr="00180A1E">
        <w:rPr>
          <w:i/>
        </w:rPr>
        <w:t>: The mobile phase is gas, and an additional liquid layer (e.g., Polyethylene glycol - polar, or Polysiloxene - non-polar) coats the silica.</w:t>
      </w:r>
    </w:p>
    <w:p w:rsidR="00180A1E" w:rsidRPr="00180A1E" w:rsidRDefault="00180A1E" w:rsidP="00180A1E">
      <w:pPr>
        <w:numPr>
          <w:ilvl w:val="1"/>
          <w:numId w:val="1"/>
        </w:numPr>
        <w:rPr>
          <w:i/>
        </w:rPr>
      </w:pPr>
      <w:r w:rsidRPr="00180A1E">
        <w:rPr>
          <w:b/>
          <w:bCs/>
          <w:i/>
        </w:rPr>
        <w:t>Temperature</w:t>
      </w:r>
      <w:r w:rsidRPr="00180A1E">
        <w:rPr>
          <w:i/>
        </w:rPr>
        <w:t xml:space="preserve">: The GC column is placed in an oven with a specially controlled temperature. </w:t>
      </w:r>
    </w:p>
    <w:p w:rsidR="00180A1E" w:rsidRPr="00180A1E" w:rsidRDefault="00180A1E" w:rsidP="00180A1E">
      <w:pPr>
        <w:numPr>
          <w:ilvl w:val="2"/>
          <w:numId w:val="1"/>
        </w:numPr>
        <w:rPr>
          <w:i/>
        </w:rPr>
      </w:pPr>
      <w:r w:rsidRPr="00180A1E">
        <w:rPr>
          <w:i/>
        </w:rPr>
        <w:t xml:space="preserve">An </w:t>
      </w:r>
      <w:r w:rsidRPr="00180A1E">
        <w:rPr>
          <w:b/>
          <w:bCs/>
          <w:i/>
        </w:rPr>
        <w:t>isothermal process</w:t>
      </w:r>
      <w:r w:rsidRPr="00180A1E">
        <w:rPr>
          <w:i/>
        </w:rPr>
        <w:t xml:space="preserve"> maintains a constant temperature throughout the process.</w:t>
      </w:r>
    </w:p>
    <w:p w:rsidR="00180A1E" w:rsidRPr="00180A1E" w:rsidRDefault="00180A1E" w:rsidP="00180A1E">
      <w:pPr>
        <w:numPr>
          <w:ilvl w:val="2"/>
          <w:numId w:val="1"/>
        </w:numPr>
        <w:rPr>
          <w:i/>
        </w:rPr>
      </w:pPr>
      <w:r w:rsidRPr="00180A1E">
        <w:rPr>
          <w:i/>
        </w:rPr>
        <w:t xml:space="preserve">A </w:t>
      </w:r>
      <w:r w:rsidRPr="00180A1E">
        <w:rPr>
          <w:b/>
          <w:bCs/>
          <w:i/>
        </w:rPr>
        <w:t>temperature program</w:t>
      </w:r>
      <w:r w:rsidRPr="00180A1E">
        <w:rPr>
          <w:i/>
        </w:rPr>
        <w:t xml:space="preserve"> involves controlled changes in initial, rate of increase, and final temperatures.</w:t>
      </w:r>
    </w:p>
    <w:p w:rsidR="00180A1E" w:rsidRPr="00180A1E" w:rsidRDefault="00180A1E" w:rsidP="00180A1E">
      <w:pPr>
        <w:numPr>
          <w:ilvl w:val="0"/>
          <w:numId w:val="1"/>
        </w:numPr>
        <w:rPr>
          <w:i/>
        </w:rPr>
      </w:pPr>
      <w:r w:rsidRPr="00EB2093">
        <w:rPr>
          <w:rStyle w:val="Heading3Char"/>
        </w:rPr>
        <w:lastRenderedPageBreak/>
        <w:t>Detection System/GC Detectors</w:t>
      </w:r>
      <w:r w:rsidRPr="00180A1E">
        <w:rPr>
          <w:i/>
        </w:rPr>
        <w:t>:</w:t>
      </w:r>
    </w:p>
    <w:p w:rsidR="00180A1E" w:rsidRPr="00180A1E" w:rsidRDefault="00180A1E" w:rsidP="00180A1E">
      <w:pPr>
        <w:numPr>
          <w:ilvl w:val="1"/>
          <w:numId w:val="1"/>
        </w:numPr>
        <w:rPr>
          <w:i/>
        </w:rPr>
      </w:pPr>
      <w:r w:rsidRPr="00180A1E">
        <w:rPr>
          <w:i/>
        </w:rPr>
        <w:t>Detectors identify components qualitatively and quantitatively by calculating their retention time.</w:t>
      </w:r>
    </w:p>
    <w:p w:rsidR="00180A1E" w:rsidRPr="00180A1E" w:rsidRDefault="00180A1E" w:rsidP="00180A1E">
      <w:pPr>
        <w:numPr>
          <w:ilvl w:val="1"/>
          <w:numId w:val="1"/>
        </w:numPr>
        <w:rPr>
          <w:i/>
        </w:rPr>
      </w:pPr>
      <w:r w:rsidRPr="00180A1E">
        <w:rPr>
          <w:i/>
        </w:rPr>
        <w:t xml:space="preserve">An ideal GC detector should possess </w:t>
      </w:r>
      <w:r w:rsidRPr="00180A1E">
        <w:rPr>
          <w:b/>
          <w:bCs/>
          <w:i/>
        </w:rPr>
        <w:t>adequate sensitivity, good stability and reproducibility, a linear response</w:t>
      </w:r>
      <w:r w:rsidRPr="00180A1E">
        <w:rPr>
          <w:i/>
        </w:rPr>
        <w:t xml:space="preserve"> over several orders of magnitude, a wide temperature range, a short response time independent of flow rate, high reliability, ease of use, and ideally be non-destructive.</w:t>
      </w:r>
    </w:p>
    <w:p w:rsidR="00180A1E" w:rsidRPr="00180A1E" w:rsidRDefault="00180A1E" w:rsidP="00180A1E">
      <w:pPr>
        <w:numPr>
          <w:ilvl w:val="1"/>
          <w:numId w:val="1"/>
        </w:numPr>
        <w:rPr>
          <w:i/>
        </w:rPr>
      </w:pPr>
      <w:r w:rsidRPr="00180A1E">
        <w:rPr>
          <w:i/>
        </w:rPr>
        <w:t xml:space="preserve">Most commonly used detectors include: </w:t>
      </w:r>
    </w:p>
    <w:p w:rsidR="00180A1E" w:rsidRPr="00180A1E" w:rsidRDefault="00180A1E" w:rsidP="00180A1E">
      <w:pPr>
        <w:numPr>
          <w:ilvl w:val="2"/>
          <w:numId w:val="1"/>
        </w:numPr>
        <w:rPr>
          <w:i/>
        </w:rPr>
      </w:pPr>
      <w:r w:rsidRPr="00180A1E">
        <w:rPr>
          <w:b/>
          <w:bCs/>
          <w:i/>
        </w:rPr>
        <w:t>Flame Ionization Detector (FID)</w:t>
      </w:r>
      <w:r w:rsidRPr="00180A1E">
        <w:rPr>
          <w:i/>
        </w:rPr>
        <w:t>: Primarily used for organic/hydrocarbon compounds. It relies on the pyrolysis of carbon-containing compounds in a hydrogen/air flame, generating a current. FID is a universal detector for organics and does not respond to common inorganic compounds or mobile phase impurities. It offers low detection limits (</w:t>
      </w:r>
      <w:proofErr w:type="spellStart"/>
      <w:r w:rsidRPr="00180A1E">
        <w:rPr>
          <w:i/>
        </w:rPr>
        <w:t>picograms</w:t>
      </w:r>
      <w:proofErr w:type="spellEnd"/>
      <w:r w:rsidRPr="00180A1E">
        <w:rPr>
          <w:i/>
        </w:rPr>
        <w:t xml:space="preserve"> per second) but is a </w:t>
      </w:r>
      <w:r w:rsidRPr="00180A1E">
        <w:rPr>
          <w:b/>
          <w:bCs/>
          <w:i/>
        </w:rPr>
        <w:t>destructive detector</w:t>
      </w:r>
      <w:r w:rsidRPr="00180A1E">
        <w:rPr>
          <w:i/>
        </w:rPr>
        <w:t>.</w:t>
      </w:r>
    </w:p>
    <w:p w:rsidR="00180A1E" w:rsidRPr="00180A1E" w:rsidRDefault="00180A1E" w:rsidP="00180A1E">
      <w:pPr>
        <w:numPr>
          <w:ilvl w:val="2"/>
          <w:numId w:val="1"/>
        </w:numPr>
        <w:rPr>
          <w:i/>
        </w:rPr>
      </w:pPr>
      <w:r w:rsidRPr="00180A1E">
        <w:rPr>
          <w:b/>
          <w:bCs/>
          <w:i/>
        </w:rPr>
        <w:t>Thermal Conductivity Detector (TCD)</w:t>
      </w:r>
      <w:r w:rsidRPr="00180A1E">
        <w:rPr>
          <w:i/>
        </w:rPr>
        <w:t>: Relies on the thermal conductivity of matter passing around a tungsten-rhenium filament. When analyte molecules elute, mixed with carrier gas, the thermal conductivity decreases, causing a detector response. It is universal and nondestructive but has low sensitivity.</w:t>
      </w:r>
    </w:p>
    <w:p w:rsidR="00180A1E" w:rsidRPr="00180A1E" w:rsidRDefault="00180A1E" w:rsidP="00180A1E">
      <w:pPr>
        <w:numPr>
          <w:ilvl w:val="2"/>
          <w:numId w:val="1"/>
        </w:numPr>
        <w:rPr>
          <w:i/>
        </w:rPr>
      </w:pPr>
      <w:r w:rsidRPr="00180A1E">
        <w:rPr>
          <w:b/>
          <w:bCs/>
          <w:i/>
        </w:rPr>
        <w:t>Electron Capture Detector (ECD)</w:t>
      </w:r>
      <w:r w:rsidRPr="00180A1E">
        <w:rPr>
          <w:i/>
        </w:rPr>
        <w:t>: Used for molecules containing electronegative elements (e.g., halogens, carbonyl, nitriles, nitro groups).</w:t>
      </w:r>
    </w:p>
    <w:p w:rsidR="00180A1E" w:rsidRPr="00180A1E" w:rsidRDefault="00180A1E" w:rsidP="00180A1E">
      <w:pPr>
        <w:numPr>
          <w:ilvl w:val="2"/>
          <w:numId w:val="1"/>
        </w:numPr>
        <w:rPr>
          <w:i/>
        </w:rPr>
      </w:pPr>
      <w:r w:rsidRPr="00180A1E">
        <w:rPr>
          <w:b/>
          <w:bCs/>
          <w:i/>
        </w:rPr>
        <w:t>Atomic Emission Detector (AED)</w:t>
      </w:r>
      <w:r w:rsidRPr="00180A1E">
        <w:rPr>
          <w:i/>
        </w:rPr>
        <w:t>: An element-selective detector where microwaves induce plasma to decompose analytes, generating atomic emission spectra.</w:t>
      </w:r>
    </w:p>
    <w:p w:rsidR="00180A1E" w:rsidRPr="00180A1E" w:rsidRDefault="00180A1E" w:rsidP="00180A1E">
      <w:pPr>
        <w:numPr>
          <w:ilvl w:val="2"/>
          <w:numId w:val="1"/>
        </w:numPr>
        <w:rPr>
          <w:i/>
        </w:rPr>
      </w:pPr>
      <w:r w:rsidRPr="00180A1E">
        <w:rPr>
          <w:b/>
          <w:bCs/>
          <w:i/>
        </w:rPr>
        <w:t>Mass Spectrometer (MS)</w:t>
      </w:r>
      <w:r w:rsidRPr="00180A1E">
        <w:rPr>
          <w:i/>
        </w:rPr>
        <w:t>: Often coupled with GC, forming GC-MS. It acts as the detector, identifying and quantifying chemicals based on their structure and fragmentation pattern.</w:t>
      </w:r>
    </w:p>
    <w:p w:rsidR="00180A1E" w:rsidRPr="00180A1E" w:rsidRDefault="00180A1E" w:rsidP="00180A1E">
      <w:pPr>
        <w:numPr>
          <w:ilvl w:val="0"/>
          <w:numId w:val="1"/>
        </w:numPr>
        <w:rPr>
          <w:i/>
        </w:rPr>
      </w:pPr>
      <w:r w:rsidRPr="00EB2093">
        <w:rPr>
          <w:rStyle w:val="Heading3Char"/>
        </w:rPr>
        <w:t>Computer ChemStation/Integrator</w:t>
      </w:r>
      <w:r w:rsidRPr="00180A1E">
        <w:rPr>
          <w:i/>
        </w:rPr>
        <w:t>: Modern chromatographic instruments are often equipped with computers or digital electronic integrators for precise estimation of peak areas and data acquisition.</w:t>
      </w:r>
    </w:p>
    <w:p w:rsidR="00180A1E" w:rsidRPr="00180A1E" w:rsidRDefault="00180A1E" w:rsidP="00EB2093">
      <w:pPr>
        <w:pStyle w:val="Heading2"/>
      </w:pPr>
      <w:bookmarkStart w:id="3" w:name="_Toc204582391"/>
      <w:r w:rsidRPr="00180A1E">
        <w:t>Working of GC</w:t>
      </w:r>
      <w:bookmarkEnd w:id="3"/>
    </w:p>
    <w:p w:rsidR="00180A1E" w:rsidRPr="00180A1E" w:rsidRDefault="00180A1E" w:rsidP="00180A1E">
      <w:pPr>
        <w:ind w:left="0" w:firstLine="0"/>
        <w:rPr>
          <w:i/>
        </w:rPr>
      </w:pPr>
      <w:r w:rsidRPr="00180A1E">
        <w:rPr>
          <w:i/>
        </w:rPr>
        <w:t>The working process of GC involves the following steps:</w:t>
      </w:r>
    </w:p>
    <w:p w:rsidR="00180A1E" w:rsidRPr="00180A1E" w:rsidRDefault="00180A1E" w:rsidP="00180A1E">
      <w:pPr>
        <w:numPr>
          <w:ilvl w:val="0"/>
          <w:numId w:val="2"/>
        </w:numPr>
        <w:rPr>
          <w:i/>
        </w:rPr>
      </w:pPr>
      <w:r w:rsidRPr="00180A1E">
        <w:rPr>
          <w:b/>
          <w:bCs/>
          <w:i/>
        </w:rPr>
        <w:t>Sample Injection</w:t>
      </w:r>
      <w:r w:rsidRPr="00180A1E">
        <w:rPr>
          <w:i/>
        </w:rPr>
        <w:t>: A known volume of liquid sample is injected into the GC system, where it is converted into vapor if it's a liquid.</w:t>
      </w:r>
    </w:p>
    <w:p w:rsidR="00180A1E" w:rsidRPr="00180A1E" w:rsidRDefault="00180A1E" w:rsidP="00180A1E">
      <w:pPr>
        <w:numPr>
          <w:ilvl w:val="0"/>
          <w:numId w:val="2"/>
        </w:numPr>
        <w:rPr>
          <w:i/>
        </w:rPr>
      </w:pPr>
      <w:r w:rsidRPr="00180A1E">
        <w:rPr>
          <w:b/>
          <w:bCs/>
          <w:i/>
        </w:rPr>
        <w:t>Chromatographic Separation</w:t>
      </w:r>
      <w:r w:rsidRPr="00180A1E">
        <w:rPr>
          <w:i/>
        </w:rPr>
        <w:t xml:space="preserve">: A </w:t>
      </w:r>
      <w:r w:rsidRPr="00180A1E">
        <w:rPr>
          <w:b/>
          <w:bCs/>
          <w:i/>
        </w:rPr>
        <w:t>carrier gas</w:t>
      </w:r>
      <w:r w:rsidRPr="00180A1E">
        <w:rPr>
          <w:i/>
        </w:rPr>
        <w:t xml:space="preserve"> (mobile phase) carries the volatilized sample components through the </w:t>
      </w:r>
      <w:r w:rsidRPr="00180A1E">
        <w:rPr>
          <w:b/>
          <w:bCs/>
          <w:i/>
        </w:rPr>
        <w:t>heated column</w:t>
      </w:r>
      <w:r w:rsidRPr="00180A1E">
        <w:rPr>
          <w:i/>
        </w:rPr>
        <w:t xml:space="preserve"> (stationary phase). Components separate based on their differential interaction with the stationary phase and their volatility, leading to different </w:t>
      </w:r>
      <w:r w:rsidRPr="00180A1E">
        <w:rPr>
          <w:b/>
          <w:bCs/>
          <w:i/>
        </w:rPr>
        <w:t>retention times</w:t>
      </w:r>
      <w:r w:rsidRPr="00180A1E">
        <w:rPr>
          <w:i/>
        </w:rPr>
        <w:t>.</w:t>
      </w:r>
    </w:p>
    <w:p w:rsidR="00180A1E" w:rsidRPr="00180A1E" w:rsidRDefault="00180A1E" w:rsidP="00180A1E">
      <w:pPr>
        <w:numPr>
          <w:ilvl w:val="0"/>
          <w:numId w:val="2"/>
        </w:numPr>
        <w:rPr>
          <w:i/>
        </w:rPr>
      </w:pPr>
      <w:r w:rsidRPr="00180A1E">
        <w:rPr>
          <w:b/>
          <w:bCs/>
          <w:i/>
        </w:rPr>
        <w:t>Detection</w:t>
      </w:r>
      <w:r w:rsidRPr="00180A1E">
        <w:rPr>
          <w:i/>
        </w:rPr>
        <w:t xml:space="preserve">: As separated components elute from the column, the </w:t>
      </w:r>
      <w:r w:rsidRPr="00180A1E">
        <w:rPr>
          <w:b/>
          <w:bCs/>
          <w:i/>
        </w:rPr>
        <w:t>detector</w:t>
      </w:r>
      <w:r w:rsidRPr="00180A1E">
        <w:rPr>
          <w:i/>
        </w:rPr>
        <w:t xml:space="preserve"> measures them, producing signals in the form of peaks.</w:t>
      </w:r>
    </w:p>
    <w:p w:rsidR="00180A1E" w:rsidRPr="00180A1E" w:rsidRDefault="00180A1E" w:rsidP="00180A1E">
      <w:pPr>
        <w:numPr>
          <w:ilvl w:val="0"/>
          <w:numId w:val="2"/>
        </w:numPr>
        <w:rPr>
          <w:i/>
        </w:rPr>
      </w:pPr>
      <w:r w:rsidRPr="00180A1E">
        <w:rPr>
          <w:b/>
          <w:bCs/>
          <w:i/>
        </w:rPr>
        <w:t>Data Acquisition</w:t>
      </w:r>
      <w:r w:rsidRPr="00180A1E">
        <w:rPr>
          <w:i/>
        </w:rPr>
        <w:t>: The results are processed and displayed, often by a computer.</w:t>
      </w:r>
    </w:p>
    <w:p w:rsidR="00180A1E" w:rsidRPr="00180A1E" w:rsidRDefault="00180A1E" w:rsidP="00EB2093">
      <w:pPr>
        <w:pStyle w:val="Heading2"/>
      </w:pPr>
      <w:bookmarkStart w:id="4" w:name="_Toc204582392"/>
      <w:r w:rsidRPr="00180A1E">
        <w:t>Data Analysis</w:t>
      </w:r>
      <w:bookmarkEnd w:id="4"/>
    </w:p>
    <w:p w:rsidR="00180A1E" w:rsidRPr="00180A1E" w:rsidRDefault="00180A1E" w:rsidP="00180A1E">
      <w:pPr>
        <w:ind w:left="0" w:firstLine="0"/>
        <w:rPr>
          <w:i/>
        </w:rPr>
      </w:pPr>
      <w:r w:rsidRPr="00180A1E">
        <w:rPr>
          <w:i/>
        </w:rPr>
        <w:t xml:space="preserve">GC enables both </w:t>
      </w:r>
      <w:r w:rsidRPr="00180A1E">
        <w:rPr>
          <w:b/>
          <w:bCs/>
          <w:i/>
        </w:rPr>
        <w:t>qualitative and quantitative analysis</w:t>
      </w:r>
      <w:r w:rsidRPr="00180A1E">
        <w:rPr>
          <w:i/>
        </w:rPr>
        <w:t>.</w:t>
      </w:r>
    </w:p>
    <w:p w:rsidR="00180A1E" w:rsidRPr="00180A1E" w:rsidRDefault="00180A1E" w:rsidP="00180A1E">
      <w:pPr>
        <w:numPr>
          <w:ilvl w:val="0"/>
          <w:numId w:val="3"/>
        </w:numPr>
        <w:rPr>
          <w:i/>
        </w:rPr>
      </w:pPr>
      <w:r w:rsidRPr="00180A1E">
        <w:rPr>
          <w:b/>
          <w:bCs/>
          <w:i/>
        </w:rPr>
        <w:t>Qualitative Analysis</w:t>
      </w:r>
      <w:r w:rsidRPr="00180A1E">
        <w:rPr>
          <w:i/>
        </w:rPr>
        <w:t xml:space="preserve">: The </w:t>
      </w:r>
      <w:r w:rsidRPr="00180A1E">
        <w:rPr>
          <w:b/>
          <w:bCs/>
          <w:i/>
        </w:rPr>
        <w:t>number of peaks</w:t>
      </w:r>
      <w:r w:rsidRPr="00180A1E">
        <w:rPr>
          <w:i/>
        </w:rPr>
        <w:t xml:space="preserve"> corresponds to the number of components in the mixture. If the </w:t>
      </w:r>
      <w:r w:rsidRPr="00180A1E">
        <w:rPr>
          <w:b/>
          <w:bCs/>
          <w:i/>
        </w:rPr>
        <w:t>retention time</w:t>
      </w:r>
      <w:r w:rsidRPr="00180A1E">
        <w:rPr>
          <w:i/>
        </w:rPr>
        <w:t xml:space="preserve"> of a mixture component is similar to a reference compound, it suggests a match.</w:t>
      </w:r>
    </w:p>
    <w:p w:rsidR="00180A1E" w:rsidRPr="00180A1E" w:rsidRDefault="00180A1E" w:rsidP="00180A1E">
      <w:pPr>
        <w:numPr>
          <w:ilvl w:val="0"/>
          <w:numId w:val="3"/>
        </w:numPr>
        <w:rPr>
          <w:i/>
        </w:rPr>
      </w:pPr>
      <w:r w:rsidRPr="00180A1E">
        <w:rPr>
          <w:b/>
          <w:bCs/>
          <w:i/>
        </w:rPr>
        <w:t>Quantitative Analysis</w:t>
      </w:r>
      <w:r w:rsidRPr="00180A1E">
        <w:rPr>
          <w:i/>
        </w:rPr>
        <w:t xml:space="preserve">: </w:t>
      </w:r>
    </w:p>
    <w:p w:rsidR="00180A1E" w:rsidRPr="00180A1E" w:rsidRDefault="00180A1E" w:rsidP="00180A1E">
      <w:pPr>
        <w:numPr>
          <w:ilvl w:val="1"/>
          <w:numId w:val="3"/>
        </w:numPr>
        <w:rPr>
          <w:i/>
        </w:rPr>
      </w:pPr>
      <w:r w:rsidRPr="00180A1E">
        <w:rPr>
          <w:b/>
          <w:bCs/>
          <w:i/>
        </w:rPr>
        <w:t>Peak height</w:t>
      </w:r>
      <w:r w:rsidRPr="00180A1E">
        <w:rPr>
          <w:i/>
        </w:rPr>
        <w:t xml:space="preserve"> can indicate the quality of the drug.</w:t>
      </w:r>
    </w:p>
    <w:p w:rsidR="00180A1E" w:rsidRPr="00180A1E" w:rsidRDefault="00180A1E" w:rsidP="00180A1E">
      <w:pPr>
        <w:numPr>
          <w:ilvl w:val="1"/>
          <w:numId w:val="3"/>
        </w:numPr>
        <w:rPr>
          <w:i/>
        </w:rPr>
      </w:pPr>
      <w:r w:rsidRPr="00180A1E">
        <w:rPr>
          <w:b/>
          <w:bCs/>
          <w:i/>
        </w:rPr>
        <w:t>Peak area</w:t>
      </w:r>
      <w:r w:rsidRPr="00180A1E">
        <w:rPr>
          <w:i/>
        </w:rPr>
        <w:t xml:space="preserve"> provides information about the quantity of the drug. Peak areas are generally preferred for quantitation as they are independent of broadening effects. Percent composition can be calculated by comparing the area under each peak to the total area of all peaks.</w:t>
      </w:r>
    </w:p>
    <w:p w:rsidR="00180A1E" w:rsidRPr="00180A1E" w:rsidRDefault="00180A1E" w:rsidP="00180A1E">
      <w:pPr>
        <w:numPr>
          <w:ilvl w:val="0"/>
          <w:numId w:val="9"/>
        </w:numPr>
        <w:rPr>
          <w:b/>
          <w:i/>
        </w:rPr>
      </w:pPr>
      <w:bookmarkStart w:id="5" w:name="_Toc204582393"/>
      <w:r w:rsidRPr="00180A1E">
        <w:rPr>
          <w:b/>
          <w:i/>
        </w:rPr>
        <w:t>Comparison of GC with Other Techniques</w:t>
      </w:r>
      <w:bookmarkEnd w:id="5"/>
    </w:p>
    <w:p w:rsidR="00180A1E" w:rsidRPr="00180A1E" w:rsidRDefault="00180A1E" w:rsidP="00180A1E">
      <w:pPr>
        <w:numPr>
          <w:ilvl w:val="0"/>
          <w:numId w:val="4"/>
        </w:numPr>
        <w:rPr>
          <w:i/>
        </w:rPr>
      </w:pPr>
      <w:r w:rsidRPr="00180A1E">
        <w:rPr>
          <w:b/>
          <w:bCs/>
          <w:i/>
        </w:rPr>
        <w:t>With Fractional Distillation (FD)</w:t>
      </w:r>
      <w:r w:rsidRPr="00180A1E">
        <w:rPr>
          <w:i/>
        </w:rPr>
        <w:t>: Both GC and FD work based on boiling point, but FD is used on a large (industrial) scale, while GC is for small (lab) scale.</w:t>
      </w:r>
    </w:p>
    <w:p w:rsidR="00180A1E" w:rsidRPr="00180A1E" w:rsidRDefault="00180A1E" w:rsidP="00180A1E">
      <w:pPr>
        <w:numPr>
          <w:ilvl w:val="0"/>
          <w:numId w:val="4"/>
        </w:numPr>
        <w:rPr>
          <w:i/>
        </w:rPr>
      </w:pPr>
      <w:r w:rsidRPr="00180A1E">
        <w:rPr>
          <w:b/>
          <w:bCs/>
          <w:i/>
        </w:rPr>
        <w:t>With TLC and HPLC</w:t>
      </w:r>
      <w:r w:rsidRPr="00180A1E">
        <w:rPr>
          <w:i/>
        </w:rPr>
        <w:t xml:space="preserve">: </w:t>
      </w:r>
    </w:p>
    <w:p w:rsidR="00180A1E" w:rsidRPr="00180A1E" w:rsidRDefault="00180A1E" w:rsidP="00180A1E">
      <w:pPr>
        <w:numPr>
          <w:ilvl w:val="1"/>
          <w:numId w:val="4"/>
        </w:numPr>
        <w:rPr>
          <w:i/>
        </w:rPr>
      </w:pPr>
      <w:r w:rsidRPr="00180A1E">
        <w:rPr>
          <w:b/>
          <w:bCs/>
          <w:i/>
        </w:rPr>
        <w:t>GC</w:t>
      </w:r>
      <w:r w:rsidRPr="00180A1E">
        <w:rPr>
          <w:i/>
        </w:rPr>
        <w:t xml:space="preserve"> uses high temperatures (up to 300°C), making it suitable only for thermo-stable compounds. It is expensive but provides very precise and accurate results.</w:t>
      </w:r>
    </w:p>
    <w:p w:rsidR="00180A1E" w:rsidRPr="00180A1E" w:rsidRDefault="00180A1E" w:rsidP="00180A1E">
      <w:pPr>
        <w:numPr>
          <w:ilvl w:val="1"/>
          <w:numId w:val="4"/>
        </w:numPr>
        <w:rPr>
          <w:i/>
        </w:rPr>
      </w:pPr>
      <w:r w:rsidRPr="00180A1E">
        <w:rPr>
          <w:b/>
          <w:bCs/>
          <w:i/>
        </w:rPr>
        <w:t>Thin Layer Chromatography (TLC)</w:t>
      </w:r>
      <w:r w:rsidRPr="00180A1E">
        <w:rPr>
          <w:i/>
        </w:rPr>
        <w:t xml:space="preserve"> operates at room temperature, is very economical, but its results are not as accurate or precise.</w:t>
      </w:r>
    </w:p>
    <w:p w:rsidR="00180A1E" w:rsidRPr="00180A1E" w:rsidRDefault="00180A1E" w:rsidP="00180A1E">
      <w:pPr>
        <w:numPr>
          <w:ilvl w:val="1"/>
          <w:numId w:val="4"/>
        </w:numPr>
        <w:rPr>
          <w:i/>
        </w:rPr>
      </w:pPr>
      <w:r w:rsidRPr="00180A1E">
        <w:rPr>
          <w:b/>
          <w:bCs/>
          <w:i/>
        </w:rPr>
        <w:t>High-Performance Liquid Chromatography (HPLC)</w:t>
      </w:r>
      <w:r w:rsidRPr="00180A1E">
        <w:rPr>
          <w:i/>
        </w:rPr>
        <w:t xml:space="preserve"> is also expensive and uses low temperatures (25–30°C), yielding very accurate and precise results.</w:t>
      </w:r>
    </w:p>
    <w:p w:rsidR="00180A1E" w:rsidRPr="00180A1E" w:rsidRDefault="00180A1E" w:rsidP="00EB2093">
      <w:pPr>
        <w:pStyle w:val="Heading2"/>
      </w:pPr>
      <w:bookmarkStart w:id="6" w:name="_Toc204582394"/>
      <w:r w:rsidRPr="00180A1E">
        <w:t>Strengths of GC</w:t>
      </w:r>
      <w:bookmarkEnd w:id="6"/>
    </w:p>
    <w:p w:rsidR="00180A1E" w:rsidRPr="00180A1E" w:rsidRDefault="00180A1E" w:rsidP="00180A1E">
      <w:pPr>
        <w:ind w:left="0" w:firstLine="0"/>
        <w:rPr>
          <w:i/>
        </w:rPr>
      </w:pPr>
      <w:r w:rsidRPr="00180A1E">
        <w:rPr>
          <w:i/>
        </w:rPr>
        <w:t>GC offers several significant advantages:</w:t>
      </w:r>
    </w:p>
    <w:p w:rsidR="00180A1E" w:rsidRPr="00180A1E" w:rsidRDefault="00180A1E" w:rsidP="00180A1E">
      <w:pPr>
        <w:numPr>
          <w:ilvl w:val="0"/>
          <w:numId w:val="6"/>
        </w:numPr>
        <w:rPr>
          <w:i/>
        </w:rPr>
      </w:pPr>
      <w:r w:rsidRPr="00180A1E">
        <w:rPr>
          <w:b/>
          <w:bCs/>
          <w:i/>
        </w:rPr>
        <w:t>High Separating Power</w:t>
      </w:r>
      <w:r w:rsidRPr="00180A1E">
        <w:rPr>
          <w:i/>
        </w:rPr>
        <w:t>: When used with capillary columns, it has much greater separating power than HPLC.</w:t>
      </w:r>
    </w:p>
    <w:p w:rsidR="00180A1E" w:rsidRPr="00180A1E" w:rsidRDefault="00180A1E" w:rsidP="00180A1E">
      <w:pPr>
        <w:numPr>
          <w:ilvl w:val="0"/>
          <w:numId w:val="6"/>
        </w:numPr>
        <w:rPr>
          <w:i/>
        </w:rPr>
      </w:pPr>
      <w:r w:rsidRPr="00180A1E">
        <w:rPr>
          <w:b/>
          <w:bCs/>
          <w:i/>
        </w:rPr>
        <w:t>Quantitative Accuracy and Precision</w:t>
      </w:r>
      <w:r w:rsidRPr="00180A1E">
        <w:rPr>
          <w:i/>
        </w:rPr>
        <w:t>: Capable of high quantitative accuracy and precision, especially with an internal standard.</w:t>
      </w:r>
    </w:p>
    <w:p w:rsidR="00180A1E" w:rsidRPr="00180A1E" w:rsidRDefault="00180A1E" w:rsidP="00180A1E">
      <w:pPr>
        <w:numPr>
          <w:ilvl w:val="0"/>
          <w:numId w:val="6"/>
        </w:numPr>
        <w:rPr>
          <w:i/>
        </w:rPr>
      </w:pPr>
      <w:r w:rsidRPr="00180A1E">
        <w:rPr>
          <w:b/>
          <w:bCs/>
          <w:i/>
        </w:rPr>
        <w:t>Automation</w:t>
      </w:r>
      <w:r w:rsidRPr="00180A1E">
        <w:rPr>
          <w:i/>
        </w:rPr>
        <w:t>: Readily automated, from sample introduction to separation.</w:t>
      </w:r>
    </w:p>
    <w:p w:rsidR="00180A1E" w:rsidRPr="00180A1E" w:rsidRDefault="00180A1E" w:rsidP="00180A1E">
      <w:pPr>
        <w:numPr>
          <w:ilvl w:val="0"/>
          <w:numId w:val="6"/>
        </w:numPr>
        <w:rPr>
          <w:i/>
        </w:rPr>
      </w:pPr>
      <w:r w:rsidRPr="00180A1E">
        <w:rPr>
          <w:b/>
          <w:bCs/>
          <w:i/>
        </w:rPr>
        <w:t>Versatility</w:t>
      </w:r>
      <w:r w:rsidRPr="00180A1E">
        <w:rPr>
          <w:i/>
        </w:rPr>
        <w:t>: Can determine compounds lacking chromophores.</w:t>
      </w:r>
    </w:p>
    <w:p w:rsidR="00180A1E" w:rsidRPr="00180A1E" w:rsidRDefault="00180A1E" w:rsidP="00180A1E">
      <w:pPr>
        <w:numPr>
          <w:ilvl w:val="0"/>
          <w:numId w:val="6"/>
        </w:numPr>
        <w:rPr>
          <w:i/>
        </w:rPr>
      </w:pPr>
      <w:r w:rsidRPr="00180A1E">
        <w:rPr>
          <w:b/>
          <w:bCs/>
          <w:i/>
        </w:rPr>
        <w:t>Cost-Effective Mobile Phase</w:t>
      </w:r>
      <w:r w:rsidRPr="00180A1E">
        <w:rPr>
          <w:i/>
        </w:rPr>
        <w:t>: The mobile phase (gas) does not vary, does not require disposal, and is generally cheaper than organic solvents used in HPLC.</w:t>
      </w:r>
    </w:p>
    <w:p w:rsidR="00180A1E" w:rsidRPr="00180A1E" w:rsidRDefault="00180A1E" w:rsidP="00EB2093">
      <w:pPr>
        <w:pStyle w:val="Heading2"/>
      </w:pPr>
      <w:bookmarkStart w:id="7" w:name="_Toc204582395"/>
      <w:r w:rsidRPr="00180A1E">
        <w:t>Limitations of GC</w:t>
      </w:r>
      <w:bookmarkEnd w:id="7"/>
    </w:p>
    <w:p w:rsidR="00180A1E" w:rsidRPr="00180A1E" w:rsidRDefault="00180A1E" w:rsidP="00180A1E">
      <w:pPr>
        <w:ind w:left="0" w:firstLine="0"/>
        <w:rPr>
          <w:i/>
        </w:rPr>
      </w:pPr>
      <w:r w:rsidRPr="00180A1E">
        <w:rPr>
          <w:i/>
        </w:rPr>
        <w:t>Despite its advantages, GC has certain limitations:</w:t>
      </w:r>
    </w:p>
    <w:p w:rsidR="00180A1E" w:rsidRPr="00180A1E" w:rsidRDefault="00180A1E" w:rsidP="00180A1E">
      <w:pPr>
        <w:numPr>
          <w:ilvl w:val="0"/>
          <w:numId w:val="7"/>
        </w:numPr>
        <w:rPr>
          <w:i/>
        </w:rPr>
      </w:pPr>
      <w:r w:rsidRPr="00180A1E">
        <w:rPr>
          <w:b/>
          <w:bCs/>
          <w:i/>
        </w:rPr>
        <w:t>Sample Volatility and Thermal Stability</w:t>
      </w:r>
      <w:r w:rsidRPr="00180A1E">
        <w:rPr>
          <w:i/>
        </w:rPr>
        <w:t xml:space="preserve">: Only </w:t>
      </w:r>
      <w:r w:rsidRPr="00180A1E">
        <w:rPr>
          <w:bCs/>
          <w:i/>
        </w:rPr>
        <w:t>thermally stable and volatile compounds can be analyzed</w:t>
      </w:r>
      <w:r w:rsidRPr="00180A1E">
        <w:rPr>
          <w:i/>
        </w:rPr>
        <w:t>. Non-volatile or thermally unstable compounds cannot pass the GC separation.</w:t>
      </w:r>
    </w:p>
    <w:p w:rsidR="00180A1E" w:rsidRPr="00180A1E" w:rsidRDefault="00180A1E" w:rsidP="00180A1E">
      <w:pPr>
        <w:numPr>
          <w:ilvl w:val="0"/>
          <w:numId w:val="7"/>
        </w:numPr>
        <w:rPr>
          <w:i/>
        </w:rPr>
      </w:pPr>
      <w:r w:rsidRPr="00180A1E">
        <w:rPr>
          <w:b/>
          <w:bCs/>
          <w:i/>
        </w:rPr>
        <w:t>Sample Preparation</w:t>
      </w:r>
      <w:r w:rsidRPr="00180A1E">
        <w:rPr>
          <w:i/>
        </w:rPr>
        <w:t xml:space="preserve">: Samples may require derivatization to convert them into a volatile form, adding an extra step and potential interferents. Aqueous solutions and salts generally </w:t>
      </w:r>
      <w:r w:rsidRPr="00180A1E">
        <w:rPr>
          <w:b/>
          <w:bCs/>
          <w:i/>
        </w:rPr>
        <w:t>cannot be injected</w:t>
      </w:r>
      <w:r w:rsidRPr="00180A1E">
        <w:rPr>
          <w:i/>
        </w:rPr>
        <w:t xml:space="preserve"> into the instrument.</w:t>
      </w:r>
    </w:p>
    <w:p w:rsidR="00180A1E" w:rsidRPr="00180A1E" w:rsidRDefault="00180A1E" w:rsidP="00180A1E">
      <w:pPr>
        <w:numPr>
          <w:ilvl w:val="0"/>
          <w:numId w:val="7"/>
        </w:numPr>
        <w:rPr>
          <w:i/>
        </w:rPr>
      </w:pPr>
      <w:r w:rsidRPr="00180A1E">
        <w:rPr>
          <w:b/>
          <w:bCs/>
          <w:i/>
        </w:rPr>
        <w:t>Quantitative Sample Introduction</w:t>
      </w:r>
      <w:r w:rsidRPr="00180A1E">
        <w:rPr>
          <w:i/>
        </w:rPr>
        <w:t>: More difficult due to the small volumes of sample injected.</w:t>
      </w:r>
    </w:p>
    <w:p w:rsidR="00180A1E" w:rsidRPr="00180A1E" w:rsidRDefault="00180A1E" w:rsidP="00180A1E">
      <w:pPr>
        <w:numPr>
          <w:ilvl w:val="0"/>
          <w:numId w:val="7"/>
        </w:numPr>
        <w:rPr>
          <w:i/>
        </w:rPr>
      </w:pPr>
      <w:r w:rsidRPr="00180A1E">
        <w:rPr>
          <w:b/>
          <w:bCs/>
          <w:i/>
        </w:rPr>
        <w:t>Chemical Range Optimization</w:t>
      </w:r>
      <w:r w:rsidRPr="00180A1E">
        <w:rPr>
          <w:i/>
        </w:rPr>
        <w:t xml:space="preserve">: The instrument needs to be </w:t>
      </w:r>
      <w:r w:rsidRPr="00180A1E">
        <w:rPr>
          <w:bCs/>
          <w:i/>
          <w:u w:val="single"/>
        </w:rPr>
        <w:t>optimized for the specific types of chemicals of concern</w:t>
      </w:r>
      <w:r w:rsidRPr="00180A1E">
        <w:rPr>
          <w:i/>
        </w:rPr>
        <w:t>. An instrument configured for volatile chemicals may miss very high or very low molecular weight chemicals.</w:t>
      </w:r>
    </w:p>
    <w:p w:rsidR="00180A1E" w:rsidRPr="00180A1E" w:rsidRDefault="00180A1E" w:rsidP="00EB2093">
      <w:pPr>
        <w:pStyle w:val="Heading2"/>
      </w:pPr>
      <w:bookmarkStart w:id="8" w:name="_Toc204582396"/>
      <w:r w:rsidRPr="00180A1E">
        <w:t>Applications of GC</w:t>
      </w:r>
      <w:bookmarkEnd w:id="8"/>
    </w:p>
    <w:p w:rsidR="00180A1E" w:rsidRPr="00180A1E" w:rsidRDefault="00180A1E" w:rsidP="00180A1E">
      <w:pPr>
        <w:ind w:left="0" w:firstLine="0"/>
        <w:rPr>
          <w:i/>
        </w:rPr>
      </w:pPr>
      <w:r w:rsidRPr="00180A1E">
        <w:rPr>
          <w:i/>
        </w:rPr>
        <w:t>GC has wide-ranging applications:</w:t>
      </w:r>
    </w:p>
    <w:p w:rsidR="00180A1E" w:rsidRPr="00180A1E" w:rsidRDefault="00180A1E" w:rsidP="00180A1E">
      <w:pPr>
        <w:numPr>
          <w:ilvl w:val="0"/>
          <w:numId w:val="5"/>
        </w:numPr>
        <w:rPr>
          <w:i/>
        </w:rPr>
      </w:pPr>
      <w:r w:rsidRPr="00180A1E">
        <w:rPr>
          <w:b/>
          <w:bCs/>
          <w:i/>
        </w:rPr>
        <w:t>Pharmaceutical Analysis</w:t>
      </w:r>
      <w:r w:rsidRPr="00180A1E">
        <w:rPr>
          <w:i/>
        </w:rPr>
        <w:t>: Analysis of drugs in biological fluids and tissues, determination of nicotine levels, separation, characterization, and quantification of benzoic and phenolic antioxidants. It is also used for quality control.</w:t>
      </w:r>
    </w:p>
    <w:p w:rsidR="00180A1E" w:rsidRPr="00180A1E" w:rsidRDefault="00180A1E" w:rsidP="00180A1E">
      <w:pPr>
        <w:numPr>
          <w:ilvl w:val="0"/>
          <w:numId w:val="5"/>
        </w:numPr>
        <w:rPr>
          <w:i/>
        </w:rPr>
      </w:pPr>
      <w:r w:rsidRPr="00180A1E">
        <w:rPr>
          <w:b/>
          <w:bCs/>
          <w:i/>
        </w:rPr>
        <w:t>Forensic Sciences</w:t>
      </w:r>
      <w:r w:rsidRPr="00180A1E">
        <w:rPr>
          <w:i/>
        </w:rPr>
        <w:t>: Identification and quantification in toxicology cases, crime scene evidence, arson investigation, and paint-chip analysis.</w:t>
      </w:r>
    </w:p>
    <w:p w:rsidR="00180A1E" w:rsidRPr="00180A1E" w:rsidRDefault="00180A1E" w:rsidP="00180A1E">
      <w:pPr>
        <w:numPr>
          <w:ilvl w:val="0"/>
          <w:numId w:val="5"/>
        </w:numPr>
        <w:rPr>
          <w:i/>
        </w:rPr>
      </w:pPr>
      <w:r w:rsidRPr="00180A1E">
        <w:rPr>
          <w:b/>
          <w:bCs/>
          <w:i/>
        </w:rPr>
        <w:t>Environmental Analysis</w:t>
      </w:r>
      <w:r w:rsidRPr="00180A1E">
        <w:rPr>
          <w:i/>
        </w:rPr>
        <w:t>: Air sample quality control (Air QC).</w:t>
      </w:r>
    </w:p>
    <w:p w:rsidR="00180A1E" w:rsidRPr="00180A1E" w:rsidRDefault="00180A1E" w:rsidP="00180A1E">
      <w:pPr>
        <w:numPr>
          <w:ilvl w:val="0"/>
          <w:numId w:val="5"/>
        </w:numPr>
        <w:rPr>
          <w:i/>
        </w:rPr>
      </w:pPr>
      <w:r w:rsidRPr="00180A1E">
        <w:rPr>
          <w:b/>
          <w:bCs/>
          <w:i/>
        </w:rPr>
        <w:t>Food Industry</w:t>
      </w:r>
      <w:r w:rsidRPr="00180A1E">
        <w:rPr>
          <w:i/>
        </w:rPr>
        <w:t>: Determination of rancidity in dairy products.</w:t>
      </w:r>
    </w:p>
    <w:p w:rsidR="00180A1E" w:rsidRPr="00180A1E" w:rsidRDefault="00180A1E" w:rsidP="00180A1E">
      <w:pPr>
        <w:numPr>
          <w:ilvl w:val="0"/>
          <w:numId w:val="5"/>
        </w:numPr>
        <w:rPr>
          <w:i/>
        </w:rPr>
      </w:pPr>
      <w:r w:rsidRPr="00180A1E">
        <w:rPr>
          <w:b/>
          <w:bCs/>
          <w:i/>
        </w:rPr>
        <w:t>General Chemical Analysis</w:t>
      </w:r>
      <w:r w:rsidRPr="00180A1E">
        <w:rPr>
          <w:i/>
        </w:rPr>
        <w:t>: Separation of geometrical isomers, and it is easy to automate. Metabolite profiling for plant functional genomics, and identification and quality assessment of Houttuynia cordata injection.</w:t>
      </w:r>
    </w:p>
    <w:p w:rsidR="00180A1E" w:rsidRPr="00180A1E" w:rsidRDefault="00180A1E" w:rsidP="00EB2093">
      <w:pPr>
        <w:pStyle w:val="Heading2"/>
      </w:pPr>
      <w:bookmarkStart w:id="9" w:name="_Toc204582397"/>
      <w:r w:rsidRPr="00180A1E">
        <w:t>Gas Chromatography-Mass Spectrometry (GC-MS)</w:t>
      </w:r>
      <w:bookmarkEnd w:id="9"/>
    </w:p>
    <w:p w:rsidR="00180A1E" w:rsidRPr="00180A1E" w:rsidRDefault="00180A1E" w:rsidP="00180A1E">
      <w:pPr>
        <w:ind w:left="0" w:firstLine="0"/>
        <w:rPr>
          <w:i/>
        </w:rPr>
      </w:pPr>
      <w:r w:rsidRPr="00180A1E">
        <w:rPr>
          <w:i/>
        </w:rPr>
        <w:t xml:space="preserve">GC-MS is a technique where </w:t>
      </w:r>
      <w:r w:rsidRPr="00180A1E">
        <w:rPr>
          <w:b/>
          <w:bCs/>
          <w:i/>
        </w:rPr>
        <w:t>Mass Spectrometry is coupled with GC</w:t>
      </w:r>
      <w:r w:rsidRPr="00180A1E">
        <w:rPr>
          <w:i/>
        </w:rPr>
        <w:t>. The combination was first reported in 1958 and became commercially available in 1967.</w:t>
      </w:r>
      <w:bookmarkStart w:id="10" w:name="_GoBack"/>
      <w:bookmarkEnd w:id="10"/>
    </w:p>
    <w:p w:rsidR="00180A1E" w:rsidRPr="00180A1E" w:rsidRDefault="00180A1E" w:rsidP="00180A1E">
      <w:pPr>
        <w:numPr>
          <w:ilvl w:val="0"/>
          <w:numId w:val="8"/>
        </w:numPr>
        <w:rPr>
          <w:i/>
        </w:rPr>
      </w:pPr>
      <w:r w:rsidRPr="00180A1E">
        <w:rPr>
          <w:b/>
          <w:bCs/>
          <w:i/>
        </w:rPr>
        <w:t>Purpose of Coupling</w:t>
      </w:r>
      <w:r w:rsidRPr="00180A1E">
        <w:rPr>
          <w:i/>
        </w:rPr>
        <w:t xml:space="preserve">: The primary purpose is to provide </w:t>
      </w:r>
      <w:r w:rsidRPr="00180A1E">
        <w:rPr>
          <w:b/>
          <w:bCs/>
          <w:i/>
        </w:rPr>
        <w:t>confirmatory identification with minimal effort</w:t>
      </w:r>
      <w:r w:rsidRPr="00180A1E">
        <w:rPr>
          <w:i/>
        </w:rPr>
        <w:t>. While GC alone can provide confirmatory analysis, it often requires analysis on two different columns; coupling with MS significantly enhances specificity and identification.</w:t>
      </w:r>
    </w:p>
    <w:p w:rsidR="00180A1E" w:rsidRPr="00180A1E" w:rsidRDefault="00180A1E" w:rsidP="00180A1E">
      <w:pPr>
        <w:numPr>
          <w:ilvl w:val="0"/>
          <w:numId w:val="8"/>
        </w:numPr>
        <w:rPr>
          <w:i/>
        </w:rPr>
      </w:pPr>
      <w:r w:rsidRPr="00180A1E">
        <w:rPr>
          <w:b/>
          <w:bCs/>
          <w:i/>
        </w:rPr>
        <w:t>Working</w:t>
      </w:r>
      <w:r w:rsidRPr="00180A1E">
        <w:rPr>
          <w:i/>
        </w:rPr>
        <w:t>: The GC portion separates the chemical mixture into pulses of pure chemicals, and the MS identifies and quantifies these chemicals based on their structure.</w:t>
      </w:r>
    </w:p>
    <w:p w:rsidR="00180A1E" w:rsidRPr="00180A1E" w:rsidRDefault="00180A1E" w:rsidP="00180A1E">
      <w:pPr>
        <w:numPr>
          <w:ilvl w:val="0"/>
          <w:numId w:val="8"/>
        </w:numPr>
        <w:rPr>
          <w:i/>
        </w:rPr>
      </w:pPr>
      <w:r w:rsidRPr="00180A1E">
        <w:rPr>
          <w:b/>
          <w:bCs/>
          <w:i/>
        </w:rPr>
        <w:t>Limitations of GC-MS</w:t>
      </w:r>
      <w:r w:rsidRPr="00180A1E">
        <w:rPr>
          <w:i/>
        </w:rPr>
        <w:t xml:space="preserve">: These include critical </w:t>
      </w:r>
      <w:r w:rsidRPr="00180A1E">
        <w:rPr>
          <w:b/>
          <w:bCs/>
          <w:i/>
        </w:rPr>
        <w:t>instrument maintenance</w:t>
      </w:r>
      <w:r w:rsidRPr="00180A1E">
        <w:rPr>
          <w:i/>
        </w:rPr>
        <w:t xml:space="preserve"> due to the high vacuum required by the MS component, the need for </w:t>
      </w:r>
      <w:r w:rsidRPr="00180A1E">
        <w:rPr>
          <w:b/>
          <w:bCs/>
          <w:i/>
        </w:rPr>
        <w:t>optimization for specific chemical ranges</w:t>
      </w:r>
      <w:r w:rsidRPr="00180A1E">
        <w:rPr>
          <w:i/>
        </w:rPr>
        <w:t xml:space="preserve"> (e.g., volatile vs. high molecular weight chemicals), and potential </w:t>
      </w:r>
      <w:r w:rsidRPr="00180A1E">
        <w:rPr>
          <w:b/>
          <w:bCs/>
          <w:i/>
        </w:rPr>
        <w:t>impure MS feed</w:t>
      </w:r>
      <w:r w:rsidRPr="00180A1E">
        <w:rPr>
          <w:i/>
        </w:rPr>
        <w:t xml:space="preserve"> from incomplete GC separation, leading to background "noise". Interpretation of mass spectra can also be complex, requiring correlation of computer calculations with system conditions. GC-MS may not be sufficient for comprehensive analysis of all plant metabolites, as it's limited to volatile compounds.</w:t>
      </w:r>
    </w:p>
    <w:p w:rsidR="000D55A9" w:rsidRDefault="000D55A9" w:rsidP="00180A1E">
      <w:pPr>
        <w:ind w:left="0" w:firstLine="0"/>
      </w:pPr>
    </w:p>
    <w:sectPr w:rsidR="000D55A9" w:rsidSect="00180A1E">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56BBD"/>
    <w:multiLevelType w:val="multilevel"/>
    <w:tmpl w:val="E4BA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259B5"/>
    <w:multiLevelType w:val="hybridMultilevel"/>
    <w:tmpl w:val="F78415A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EF793E"/>
    <w:multiLevelType w:val="multilevel"/>
    <w:tmpl w:val="0C6A7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DB345F"/>
    <w:multiLevelType w:val="multilevel"/>
    <w:tmpl w:val="B75A7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C6E93"/>
    <w:multiLevelType w:val="multilevel"/>
    <w:tmpl w:val="7DCA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687F55"/>
    <w:multiLevelType w:val="multilevel"/>
    <w:tmpl w:val="47F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48337F"/>
    <w:multiLevelType w:val="multilevel"/>
    <w:tmpl w:val="B3BEF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7443F2"/>
    <w:multiLevelType w:val="multilevel"/>
    <w:tmpl w:val="A656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C4D41"/>
    <w:multiLevelType w:val="multilevel"/>
    <w:tmpl w:val="FC607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6"/>
  </w:num>
  <w:num w:numId="4">
    <w:abstractNumId w:val="3"/>
  </w:num>
  <w:num w:numId="5">
    <w:abstractNumId w:val="5"/>
  </w:num>
  <w:num w:numId="6">
    <w:abstractNumId w:val="4"/>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A1E"/>
    <w:rsid w:val="0008564A"/>
    <w:rsid w:val="000D55A9"/>
    <w:rsid w:val="00180A1E"/>
    <w:rsid w:val="00503184"/>
    <w:rsid w:val="005E6ACE"/>
    <w:rsid w:val="00680515"/>
    <w:rsid w:val="00766697"/>
    <w:rsid w:val="007F10B2"/>
    <w:rsid w:val="009F3B8E"/>
    <w:rsid w:val="00A00492"/>
    <w:rsid w:val="00AA7980"/>
    <w:rsid w:val="00BA6C0C"/>
    <w:rsid w:val="00C733F9"/>
    <w:rsid w:val="00CD4518"/>
    <w:rsid w:val="00DA27B3"/>
    <w:rsid w:val="00E96600"/>
    <w:rsid w:val="00EB2093"/>
    <w:rsid w:val="00EF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C920FB-8B76-4A40-8F1F-028B7C9E8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0B2"/>
    <w:pPr>
      <w:spacing w:after="120"/>
    </w:pPr>
    <w:rPr>
      <w:rFonts w:ascii="Cambria" w:hAnsi="Cambria"/>
    </w:rPr>
  </w:style>
  <w:style w:type="paragraph" w:styleId="Heading1">
    <w:name w:val="heading 1"/>
    <w:basedOn w:val="Normal"/>
    <w:next w:val="Normal"/>
    <w:link w:val="Heading1Char"/>
    <w:autoRedefine/>
    <w:uiPriority w:val="9"/>
    <w:qFormat/>
    <w:rsid w:val="00EB2093"/>
    <w:pPr>
      <w:keepNext/>
      <w:keepLines/>
      <w:spacing w:before="120"/>
      <w:ind w:left="360"/>
      <w:outlineLvl w:val="0"/>
    </w:pPr>
    <w:rPr>
      <w:rFonts w:eastAsiaTheme="majorEastAsia" w:cstheme="majorBidi"/>
      <w:b/>
      <w:i/>
      <w:sz w:val="32"/>
      <w:szCs w:val="32"/>
    </w:rPr>
  </w:style>
  <w:style w:type="paragraph" w:styleId="Heading2">
    <w:name w:val="heading 2"/>
    <w:basedOn w:val="Normal"/>
    <w:next w:val="Normal"/>
    <w:link w:val="Heading2Char"/>
    <w:uiPriority w:val="9"/>
    <w:unhideWhenUsed/>
    <w:qFormat/>
    <w:rsid w:val="00A00492"/>
    <w:pPr>
      <w:keepNext/>
      <w:keepLines/>
      <w:spacing w:before="120" w:line="240" w:lineRule="auto"/>
      <w:ind w:left="0" w:firstLine="0"/>
      <w:outlineLvl w:val="1"/>
    </w:pPr>
    <w:rPr>
      <w:rFonts w:eastAsiaTheme="majorEastAsia" w:cstheme="majorBidi"/>
      <w:b/>
      <w:i/>
      <w:sz w:val="28"/>
      <w:szCs w:val="26"/>
    </w:rPr>
  </w:style>
  <w:style w:type="paragraph" w:styleId="Heading3">
    <w:name w:val="heading 3"/>
    <w:basedOn w:val="Normal"/>
    <w:next w:val="Normal"/>
    <w:link w:val="Heading3Char"/>
    <w:uiPriority w:val="9"/>
    <w:unhideWhenUsed/>
    <w:qFormat/>
    <w:rsid w:val="00A00492"/>
    <w:pPr>
      <w:keepNext/>
      <w:keepLines/>
      <w:spacing w:before="40" w:after="0" w:line="360" w:lineRule="auto"/>
      <w:outlineLvl w:val="2"/>
    </w:pPr>
    <w:rPr>
      <w:rFonts w:eastAsiaTheme="majorEastAsia" w:cstheme="majorBidi"/>
      <w:b/>
      <w:i/>
      <w:sz w:val="24"/>
      <w:szCs w:val="24"/>
    </w:rPr>
  </w:style>
  <w:style w:type="paragraph" w:styleId="Heading4">
    <w:name w:val="heading 4"/>
    <w:basedOn w:val="Normal"/>
    <w:next w:val="Normal"/>
    <w:link w:val="Heading4Char"/>
    <w:uiPriority w:val="9"/>
    <w:semiHidden/>
    <w:unhideWhenUsed/>
    <w:qFormat/>
    <w:rsid w:val="0076669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0492"/>
    <w:rPr>
      <w:rFonts w:ascii="Cambria" w:eastAsiaTheme="majorEastAsia" w:hAnsi="Cambria" w:cstheme="majorBidi"/>
      <w:b/>
      <w:i/>
      <w:sz w:val="24"/>
      <w:szCs w:val="24"/>
    </w:rPr>
  </w:style>
  <w:style w:type="character" w:customStyle="1" w:styleId="Heading1Char">
    <w:name w:val="Heading 1 Char"/>
    <w:basedOn w:val="DefaultParagraphFont"/>
    <w:link w:val="Heading1"/>
    <w:uiPriority w:val="9"/>
    <w:rsid w:val="00EB2093"/>
    <w:rPr>
      <w:rFonts w:ascii="Cambria" w:eastAsiaTheme="majorEastAsia" w:hAnsi="Cambria" w:cstheme="majorBidi"/>
      <w:b/>
      <w:i/>
      <w:sz w:val="32"/>
      <w:szCs w:val="32"/>
    </w:rPr>
  </w:style>
  <w:style w:type="character" w:customStyle="1" w:styleId="Heading2Char">
    <w:name w:val="Heading 2 Char"/>
    <w:basedOn w:val="DefaultParagraphFont"/>
    <w:link w:val="Heading2"/>
    <w:uiPriority w:val="9"/>
    <w:rsid w:val="00A00492"/>
    <w:rPr>
      <w:rFonts w:ascii="Cambria" w:eastAsiaTheme="majorEastAsia" w:hAnsi="Cambria" w:cstheme="majorBidi"/>
      <w:b/>
      <w:i/>
      <w:sz w:val="28"/>
      <w:szCs w:val="26"/>
    </w:rPr>
  </w:style>
  <w:style w:type="character" w:customStyle="1" w:styleId="Heading4Char">
    <w:name w:val="Heading 4 Char"/>
    <w:basedOn w:val="DefaultParagraphFont"/>
    <w:link w:val="Heading4"/>
    <w:uiPriority w:val="9"/>
    <w:semiHidden/>
    <w:rsid w:val="00766697"/>
    <w:rPr>
      <w:rFonts w:ascii="Cambria" w:eastAsiaTheme="majorEastAsia" w:hAnsi="Cambria" w:cstheme="majorBidi"/>
      <w:b/>
      <w:iCs/>
      <w:sz w:val="24"/>
    </w:rPr>
  </w:style>
  <w:style w:type="paragraph" w:styleId="Title">
    <w:name w:val="Title"/>
    <w:basedOn w:val="Normal"/>
    <w:next w:val="Normal"/>
    <w:link w:val="TitleChar"/>
    <w:uiPriority w:val="10"/>
    <w:qFormat/>
    <w:rsid w:val="00EF11DF"/>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EF11DF"/>
    <w:rPr>
      <w:rFonts w:ascii="Cambria" w:eastAsiaTheme="majorEastAsia" w:hAnsi="Cambria" w:cstheme="majorBidi"/>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1527</Words>
  <Characters>8709</Characters>
  <Application>Microsoft Office Word</Application>
  <DocSecurity>0</DocSecurity>
  <Lines>72</Lines>
  <Paragraphs>20</Paragraphs>
  <ScaleCrop>false</ScaleCrop>
  <Company/>
  <LinksUpToDate>false</LinksUpToDate>
  <CharactersWithSpaces>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2026-09-12T11:23:00Z</dcterms:created>
  <dcterms:modified xsi:type="dcterms:W3CDTF">2026-09-15T05:03:00Z</dcterms:modified>
</cp:coreProperties>
</file>