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340" w:rsidRPr="00FB207E" w:rsidRDefault="00766340" w:rsidP="00FB207E">
      <w:pPr>
        <w:pStyle w:val="Heading1"/>
        <w:ind w:left="360"/>
      </w:pPr>
      <w:bookmarkStart w:id="0" w:name="_Toc204702933"/>
      <w:r w:rsidRPr="00FB207E">
        <w:drawing>
          <wp:anchor distT="0" distB="0" distL="114300" distR="114300" simplePos="0" relativeHeight="251659264" behindDoc="0" locked="0" layoutInCell="1" allowOverlap="1" wp14:anchorId="75A70929" wp14:editId="24176408">
            <wp:simplePos x="0" y="0"/>
            <wp:positionH relativeFrom="column">
              <wp:posOffset>2065655</wp:posOffset>
            </wp:positionH>
            <wp:positionV relativeFrom="paragraph">
              <wp:posOffset>377190</wp:posOffset>
            </wp:positionV>
            <wp:extent cx="4672330" cy="35445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72330" cy="3544570"/>
                    </a:xfrm>
                    <a:prstGeom prst="rect">
                      <a:avLst/>
                    </a:prstGeom>
                  </pic:spPr>
                </pic:pic>
              </a:graphicData>
            </a:graphic>
            <wp14:sizeRelH relativeFrom="margin">
              <wp14:pctWidth>0</wp14:pctWidth>
            </wp14:sizeRelH>
            <wp14:sizeRelV relativeFrom="margin">
              <wp14:pctHeight>0</wp14:pctHeight>
            </wp14:sizeRelV>
          </wp:anchor>
        </w:drawing>
      </w:r>
      <w:r w:rsidRPr="00FB207E">
        <w:t>Protein Synthesis Inhibitors</w:t>
      </w:r>
      <w:bookmarkEnd w:id="0"/>
    </w:p>
    <w:p w:rsidR="00766340" w:rsidRPr="00FB207E" w:rsidRDefault="00766340" w:rsidP="00FB207E">
      <w:pPr>
        <w:pStyle w:val="Heading2"/>
      </w:pPr>
      <w:bookmarkStart w:id="1" w:name="_Toc204702934"/>
      <w:r w:rsidRPr="00FB207E">
        <w:t>Introduction</w:t>
      </w:r>
      <w:bookmarkEnd w:id="1"/>
    </w:p>
    <w:p w:rsidR="00766340" w:rsidRPr="000F7D05" w:rsidRDefault="00766340" w:rsidP="00766340">
      <w:pPr>
        <w:ind w:left="0" w:firstLine="0"/>
        <w:rPr>
          <w:rFonts w:ascii="Cambria" w:hAnsi="Cambria"/>
          <w:i w:val="0"/>
          <w:sz w:val="24"/>
        </w:rPr>
      </w:pPr>
      <w:r w:rsidRPr="000F7D05">
        <w:rPr>
          <w:rFonts w:ascii="Cambria" w:hAnsi="Cambria"/>
          <w:i w:val="0"/>
          <w:sz w:val="24"/>
        </w:rPr>
        <w:t>Protein synthesis inhibitors represent a vital class of antimicrobial agents. They function by "targeting bacterial protein production," interfering with the essential processes bacteria need to build proteins, which are fundamental for their growth, replication, and survival.</w:t>
      </w:r>
    </w:p>
    <w:p w:rsidR="00766340" w:rsidRPr="000F7D05" w:rsidRDefault="00766340" w:rsidP="00FB207E">
      <w:pPr>
        <w:pStyle w:val="Heading2"/>
        <w:rPr>
          <w:i/>
        </w:rPr>
      </w:pPr>
      <w:bookmarkStart w:id="2" w:name="_Toc204702935"/>
      <w:r w:rsidRPr="000F7D05">
        <w:t>Chloramphenicol</w:t>
      </w:r>
      <w:bookmarkEnd w:id="2"/>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Chloramphenicol is a potent antibiotic with historical significance, first isolated in 1947 from </w:t>
      </w:r>
      <w:r w:rsidRPr="000F7D05">
        <w:rPr>
          <w:rFonts w:ascii="Cambria" w:hAnsi="Cambria"/>
          <w:b/>
          <w:i w:val="0"/>
          <w:iCs/>
          <w:sz w:val="24"/>
        </w:rPr>
        <w:t>Streptomyces venezuelae</w:t>
      </w:r>
      <w:r w:rsidRPr="000F7D05">
        <w:rPr>
          <w:rFonts w:ascii="Cambria" w:hAnsi="Cambria"/>
          <w:i w:val="0"/>
          <w:sz w:val="24"/>
        </w:rPr>
        <w:t>. Its use is now "limited due to its toxicity profile," reserved for "severe infections that cannot be treated with other drugs, often in patients who have allergies or sensitivities."</w:t>
      </w:r>
    </w:p>
    <w:p w:rsidR="00766340" w:rsidRPr="000F7D05" w:rsidRDefault="00766340" w:rsidP="00FB207E">
      <w:pPr>
        <w:pStyle w:val="Heading3"/>
        <w:ind w:left="360"/>
        <w:rPr>
          <w:i/>
        </w:rPr>
      </w:pPr>
      <w:r w:rsidRPr="000F7D05">
        <w:t>Mechanism of Action</w:t>
      </w:r>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Chloramphenicol "binds to the 50S ribosomal subunit," a key component of the bacterial 70S ribosome. This binding prevents aminoacyl tRNA from attaching to the acceptor site, thereby "disrupt[ing] the </w:t>
      </w:r>
      <w:r w:rsidRPr="000F7D05">
        <w:rPr>
          <w:rFonts w:ascii="Cambria" w:hAnsi="Cambria"/>
          <w:b/>
          <w:i w:val="0"/>
          <w:sz w:val="24"/>
        </w:rPr>
        <w:t>formation of peptide bonds between amino acids</w:t>
      </w:r>
      <w:r w:rsidRPr="000F7D05">
        <w:rPr>
          <w:rFonts w:ascii="Cambria" w:hAnsi="Cambria"/>
          <w:i w:val="0"/>
          <w:sz w:val="24"/>
        </w:rPr>
        <w:t xml:space="preserve"> (the essential step in protein synthesis)." It specifically inhibits "peptidyl transferase." </w:t>
      </w:r>
    </w:p>
    <w:p w:rsidR="00766340" w:rsidRPr="000F7D05" w:rsidRDefault="00766340" w:rsidP="00766340">
      <w:pPr>
        <w:numPr>
          <w:ilvl w:val="0"/>
          <w:numId w:val="17"/>
        </w:numPr>
        <w:contextualSpacing/>
        <w:rPr>
          <w:rFonts w:ascii="Cambria" w:hAnsi="Cambria"/>
          <w:i w:val="0"/>
          <w:sz w:val="24"/>
        </w:rPr>
      </w:pPr>
      <w:r w:rsidRPr="000F7D05">
        <w:rPr>
          <w:rFonts w:ascii="Cambria" w:hAnsi="Cambria"/>
          <w:i w:val="0"/>
          <w:sz w:val="24"/>
        </w:rPr>
        <w:t>Notably, it shows "limited ability to inhibit protein synthesis in eukaryotic cells," except for mitochondria, due to similarities in their ribosomal structure (both 70S).</w:t>
      </w:r>
    </w:p>
    <w:p w:rsidR="00766340" w:rsidRPr="000F7D05" w:rsidRDefault="00766340" w:rsidP="00FB207E">
      <w:pPr>
        <w:pStyle w:val="Heading3"/>
        <w:ind w:left="360"/>
        <w:rPr>
          <w:i/>
        </w:rPr>
      </w:pPr>
      <w:r w:rsidRPr="000F7D05">
        <w:t>Resistance Mechanisms</w:t>
      </w:r>
    </w:p>
    <w:p w:rsidR="00766340" w:rsidRPr="000F7D05" w:rsidRDefault="00766340" w:rsidP="00766340">
      <w:pPr>
        <w:ind w:left="0" w:firstLine="0"/>
        <w:rPr>
          <w:rFonts w:ascii="Cambria" w:hAnsi="Cambria"/>
          <w:i w:val="0"/>
          <w:sz w:val="24"/>
        </w:rPr>
      </w:pPr>
      <w:r w:rsidRPr="000F7D05">
        <w:rPr>
          <w:rFonts w:ascii="Cambria" w:hAnsi="Cambria"/>
          <w:i w:val="0"/>
          <w:sz w:val="24"/>
        </w:rPr>
        <w:t>Resistance to chloramphenicol can arise through several mechanisms:</w:t>
      </w:r>
    </w:p>
    <w:p w:rsidR="00766340" w:rsidRPr="000F7D05" w:rsidRDefault="00766340" w:rsidP="00766340">
      <w:pPr>
        <w:numPr>
          <w:ilvl w:val="0"/>
          <w:numId w:val="1"/>
        </w:numPr>
        <w:rPr>
          <w:rFonts w:ascii="Cambria" w:hAnsi="Cambria"/>
          <w:i w:val="0"/>
          <w:sz w:val="24"/>
        </w:rPr>
      </w:pPr>
      <w:r w:rsidRPr="000F7D05">
        <w:rPr>
          <w:rFonts w:ascii="Cambria" w:hAnsi="Cambria"/>
          <w:b/>
          <w:bCs/>
          <w:i w:val="0"/>
          <w:sz w:val="24"/>
        </w:rPr>
        <w:t>Plasmid-encoded acetyltransferases:</w:t>
      </w:r>
      <w:r w:rsidRPr="000F7D05">
        <w:rPr>
          <w:rFonts w:ascii="Cambria" w:hAnsi="Cambria"/>
          <w:i w:val="0"/>
          <w:sz w:val="24"/>
        </w:rPr>
        <w:t xml:space="preserve"> These enzymes "modify the drug's structure, rendering it inactive."</w:t>
      </w:r>
    </w:p>
    <w:p w:rsidR="00766340" w:rsidRPr="000F7D05" w:rsidRDefault="00766340" w:rsidP="00766340">
      <w:pPr>
        <w:numPr>
          <w:ilvl w:val="0"/>
          <w:numId w:val="1"/>
        </w:numPr>
        <w:rPr>
          <w:rFonts w:ascii="Cambria" w:hAnsi="Cambria"/>
          <w:i w:val="0"/>
          <w:sz w:val="24"/>
        </w:rPr>
      </w:pPr>
      <w:r w:rsidRPr="000F7D05">
        <w:rPr>
          <w:rFonts w:ascii="Cambria" w:hAnsi="Cambria"/>
          <w:b/>
          <w:bCs/>
          <w:i w:val="0"/>
          <w:sz w:val="24"/>
        </w:rPr>
        <w:t>Decreased permeability:</w:t>
      </w:r>
      <w:r w:rsidRPr="000F7D05">
        <w:rPr>
          <w:rFonts w:ascii="Cambria" w:hAnsi="Cambria"/>
          <w:i w:val="0"/>
          <w:sz w:val="24"/>
        </w:rPr>
        <w:t xml:space="preserve"> Alterations in the bacterial cell membrane can "reduce chloramphenicol's entry into the cell."</w:t>
      </w:r>
    </w:p>
    <w:p w:rsidR="00766340" w:rsidRPr="000F7D05" w:rsidRDefault="00766340" w:rsidP="00766340">
      <w:pPr>
        <w:numPr>
          <w:ilvl w:val="0"/>
          <w:numId w:val="1"/>
        </w:numPr>
        <w:rPr>
          <w:rFonts w:ascii="Cambria" w:hAnsi="Cambria"/>
          <w:i w:val="0"/>
          <w:sz w:val="24"/>
        </w:rPr>
      </w:pPr>
      <w:r w:rsidRPr="000F7D05">
        <w:rPr>
          <w:rFonts w:ascii="Cambria" w:hAnsi="Cambria"/>
          <w:b/>
          <w:bCs/>
          <w:i w:val="0"/>
          <w:sz w:val="24"/>
        </w:rPr>
        <w:t>Ribosomal mutations:</w:t>
      </w:r>
      <w:r w:rsidRPr="000F7D05">
        <w:rPr>
          <w:rFonts w:ascii="Cambria" w:hAnsi="Cambria"/>
          <w:i w:val="0"/>
          <w:sz w:val="24"/>
        </w:rPr>
        <w:t xml:space="preserve"> Genetic changes within bacterial ribosomes can lead to resistance.</w:t>
      </w:r>
    </w:p>
    <w:p w:rsidR="00766340" w:rsidRPr="000F7D05" w:rsidRDefault="00766340" w:rsidP="00FB207E">
      <w:pPr>
        <w:pStyle w:val="Heading3"/>
        <w:ind w:left="360"/>
        <w:rPr>
          <w:i/>
        </w:rPr>
      </w:pPr>
      <w:r w:rsidRPr="000F7D05">
        <w:t>Pharmacokinetics</w:t>
      </w:r>
    </w:p>
    <w:p w:rsidR="00766340" w:rsidRPr="000F7D05" w:rsidRDefault="00766340" w:rsidP="00766340">
      <w:pPr>
        <w:numPr>
          <w:ilvl w:val="0"/>
          <w:numId w:val="2"/>
        </w:numPr>
        <w:rPr>
          <w:rFonts w:ascii="Cambria" w:hAnsi="Cambria"/>
          <w:i w:val="0"/>
          <w:sz w:val="24"/>
        </w:rPr>
      </w:pPr>
      <w:r w:rsidRPr="000F7D05">
        <w:rPr>
          <w:rFonts w:ascii="Cambria" w:hAnsi="Cambria"/>
          <w:b/>
          <w:bCs/>
          <w:i w:val="0"/>
          <w:sz w:val="24"/>
        </w:rPr>
        <w:t>Absorption:</w:t>
      </w:r>
      <w:r w:rsidRPr="000F7D05">
        <w:rPr>
          <w:rFonts w:ascii="Cambria" w:hAnsi="Cambria"/>
          <w:i w:val="0"/>
          <w:sz w:val="24"/>
        </w:rPr>
        <w:t xml:space="preserve"> Readily absorbed by bacterial cells via facilitated diffusion. Available orally as an active drug or inactive prodrug (chloramphenicol palmitate). The water-soluble sodium succinate formulation is preferred for intravenous use.</w:t>
      </w:r>
    </w:p>
    <w:p w:rsidR="00766340" w:rsidRPr="000F7D05" w:rsidRDefault="00766340" w:rsidP="00766340">
      <w:pPr>
        <w:numPr>
          <w:ilvl w:val="0"/>
          <w:numId w:val="2"/>
        </w:numPr>
        <w:rPr>
          <w:rFonts w:ascii="Cambria" w:hAnsi="Cambria"/>
          <w:i w:val="0"/>
          <w:sz w:val="24"/>
        </w:rPr>
      </w:pPr>
      <w:r w:rsidRPr="000F7D05">
        <w:rPr>
          <w:rFonts w:ascii="Cambria" w:hAnsi="Cambria"/>
          <w:b/>
          <w:bCs/>
          <w:i w:val="0"/>
          <w:sz w:val="24"/>
        </w:rPr>
        <w:lastRenderedPageBreak/>
        <w:t>Distribution:</w:t>
      </w:r>
      <w:r w:rsidRPr="000F7D05">
        <w:rPr>
          <w:rFonts w:ascii="Cambria" w:hAnsi="Cambria"/>
          <w:i w:val="0"/>
          <w:sz w:val="24"/>
        </w:rPr>
        <w:t xml:space="preserve"> "Wide distribution throughout the body," cross the placenta and blood-brain barrier.</w:t>
      </w:r>
    </w:p>
    <w:p w:rsidR="00766340" w:rsidRPr="000F7D05" w:rsidRDefault="00766340" w:rsidP="00766340">
      <w:pPr>
        <w:numPr>
          <w:ilvl w:val="0"/>
          <w:numId w:val="2"/>
        </w:numPr>
        <w:rPr>
          <w:rFonts w:ascii="Cambria" w:hAnsi="Cambria"/>
          <w:i w:val="0"/>
          <w:sz w:val="24"/>
        </w:rPr>
      </w:pPr>
      <w:r w:rsidRPr="000F7D05">
        <w:rPr>
          <w:rFonts w:ascii="Cambria" w:hAnsi="Cambria"/>
          <w:b/>
          <w:bCs/>
          <w:i w:val="0"/>
          <w:sz w:val="24"/>
        </w:rPr>
        <w:t>Metabolism &amp; Elimination:</w:t>
      </w:r>
      <w:r w:rsidRPr="000F7D05">
        <w:rPr>
          <w:rFonts w:ascii="Cambria" w:hAnsi="Cambria"/>
          <w:i w:val="0"/>
          <w:sz w:val="24"/>
        </w:rPr>
        <w:t xml:space="preserve"> Primarily metabolized in the liver to an inactive glucuronide metabolite, which is then excreted via urine.</w:t>
      </w:r>
    </w:p>
    <w:p w:rsidR="00766340" w:rsidRPr="000F7D05" w:rsidRDefault="00766340" w:rsidP="00FB207E">
      <w:pPr>
        <w:pStyle w:val="Heading3"/>
        <w:ind w:left="360"/>
        <w:rPr>
          <w:i/>
        </w:rPr>
      </w:pPr>
      <w:r w:rsidRPr="000F7D05">
        <w:t>Therapeutic Uses</w:t>
      </w:r>
    </w:p>
    <w:p w:rsidR="00766340" w:rsidRPr="000F7D05" w:rsidRDefault="00766340" w:rsidP="00766340">
      <w:pPr>
        <w:ind w:left="0" w:firstLine="0"/>
        <w:rPr>
          <w:rFonts w:ascii="Cambria" w:hAnsi="Cambria"/>
          <w:i w:val="0"/>
          <w:sz w:val="24"/>
        </w:rPr>
      </w:pPr>
      <w:r w:rsidRPr="000F7D05">
        <w:rPr>
          <w:rFonts w:ascii="Cambria" w:hAnsi="Cambria"/>
          <w:i w:val="0"/>
          <w:sz w:val="24"/>
        </w:rPr>
        <w:t>Chloramphenicol is reserved for specific, severe infections:</w:t>
      </w:r>
    </w:p>
    <w:p w:rsidR="00766340" w:rsidRPr="000F7D05" w:rsidRDefault="00766340" w:rsidP="00766340">
      <w:pPr>
        <w:numPr>
          <w:ilvl w:val="0"/>
          <w:numId w:val="3"/>
        </w:numPr>
        <w:rPr>
          <w:rFonts w:ascii="Cambria" w:hAnsi="Cambria"/>
          <w:i w:val="0"/>
          <w:sz w:val="24"/>
        </w:rPr>
      </w:pPr>
      <w:r w:rsidRPr="000F7D05">
        <w:rPr>
          <w:rFonts w:ascii="Cambria" w:hAnsi="Cambria"/>
          <w:b/>
          <w:bCs/>
          <w:i w:val="0"/>
          <w:sz w:val="24"/>
        </w:rPr>
        <w:t>Typhoid Fever:</w:t>
      </w:r>
      <w:r w:rsidRPr="000F7D05">
        <w:rPr>
          <w:rFonts w:ascii="Cambria" w:hAnsi="Cambria"/>
          <w:i w:val="0"/>
          <w:sz w:val="24"/>
        </w:rPr>
        <w:t xml:space="preserve"> A backup option when other antimicrobials are inadequate.</w:t>
      </w:r>
    </w:p>
    <w:p w:rsidR="00766340" w:rsidRPr="000F7D05" w:rsidRDefault="00766340" w:rsidP="00766340">
      <w:pPr>
        <w:numPr>
          <w:ilvl w:val="0"/>
          <w:numId w:val="3"/>
        </w:numPr>
        <w:rPr>
          <w:rFonts w:ascii="Cambria" w:hAnsi="Cambria"/>
          <w:i w:val="0"/>
          <w:sz w:val="24"/>
        </w:rPr>
      </w:pPr>
      <w:r w:rsidRPr="000F7D05">
        <w:rPr>
          <w:rFonts w:ascii="Cambria" w:hAnsi="Cambria"/>
          <w:b/>
          <w:bCs/>
          <w:i w:val="0"/>
          <w:sz w:val="24"/>
        </w:rPr>
        <w:t>Bacterial Meningitis:</w:t>
      </w:r>
      <w:r w:rsidRPr="000F7D05">
        <w:rPr>
          <w:rFonts w:ascii="Cambria" w:hAnsi="Cambria"/>
          <w:i w:val="0"/>
          <w:sz w:val="24"/>
        </w:rPr>
        <w:t xml:space="preserve"> Used for patients resistant or allergic to beta-lactam antibiotics.</w:t>
      </w:r>
    </w:p>
    <w:p w:rsidR="00766340" w:rsidRPr="000F7D05" w:rsidRDefault="00766340" w:rsidP="00766340">
      <w:pPr>
        <w:numPr>
          <w:ilvl w:val="0"/>
          <w:numId w:val="3"/>
        </w:numPr>
        <w:rPr>
          <w:rFonts w:ascii="Cambria" w:hAnsi="Cambria"/>
          <w:i w:val="0"/>
          <w:sz w:val="24"/>
        </w:rPr>
      </w:pPr>
      <w:r w:rsidRPr="000F7D05">
        <w:rPr>
          <w:rFonts w:ascii="Cambria" w:hAnsi="Cambria"/>
          <w:b/>
          <w:bCs/>
          <w:i w:val="0"/>
          <w:sz w:val="24"/>
        </w:rPr>
        <w:t>Rickettsial Diseases:</w:t>
      </w:r>
      <w:r w:rsidRPr="000F7D05">
        <w:rPr>
          <w:rFonts w:ascii="Cambria" w:hAnsi="Cambria"/>
          <w:i w:val="0"/>
          <w:sz w:val="24"/>
        </w:rPr>
        <w:t xml:space="preserve"> Such as Rocky Mountain spotted fever.</w:t>
      </w:r>
    </w:p>
    <w:p w:rsidR="00766340" w:rsidRPr="000F7D05" w:rsidRDefault="00766340" w:rsidP="00766340">
      <w:pPr>
        <w:numPr>
          <w:ilvl w:val="0"/>
          <w:numId w:val="3"/>
        </w:numPr>
        <w:rPr>
          <w:rFonts w:ascii="Cambria" w:hAnsi="Cambria"/>
          <w:i w:val="0"/>
          <w:sz w:val="24"/>
        </w:rPr>
      </w:pPr>
      <w:r w:rsidRPr="000F7D05">
        <w:rPr>
          <w:rFonts w:ascii="Cambria" w:hAnsi="Cambria"/>
          <w:b/>
          <w:bCs/>
          <w:i w:val="0"/>
          <w:sz w:val="24"/>
        </w:rPr>
        <w:t>Eye Infections:</w:t>
      </w:r>
      <w:r w:rsidRPr="000F7D05">
        <w:rPr>
          <w:rFonts w:ascii="Cambria" w:hAnsi="Cambria"/>
          <w:i w:val="0"/>
          <w:sz w:val="24"/>
        </w:rPr>
        <w:t xml:space="preserve"> Topical applications are effective for conditions like conjunctivitis.</w:t>
      </w:r>
    </w:p>
    <w:p w:rsidR="00766340" w:rsidRPr="000F7D05" w:rsidRDefault="00766340" w:rsidP="00FB207E">
      <w:pPr>
        <w:pStyle w:val="Heading3"/>
        <w:ind w:left="360"/>
        <w:rPr>
          <w:i/>
        </w:rPr>
      </w:pPr>
      <w:r w:rsidRPr="000F7D05">
        <w:t>Adverse Effects</w:t>
      </w:r>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The most significant side effect is </w:t>
      </w:r>
      <w:r w:rsidRPr="000F7D05">
        <w:rPr>
          <w:rFonts w:ascii="Cambria" w:hAnsi="Cambria"/>
          <w:b/>
          <w:bCs/>
          <w:i w:val="0"/>
          <w:sz w:val="24"/>
        </w:rPr>
        <w:t>hematologic toxicity</w:t>
      </w:r>
      <w:r w:rsidRPr="000F7D05">
        <w:rPr>
          <w:rFonts w:ascii="Cambria" w:hAnsi="Cambria"/>
          <w:i w:val="0"/>
          <w:sz w:val="24"/>
        </w:rPr>
        <w:t>, particularly bone marrow suppression:</w:t>
      </w:r>
    </w:p>
    <w:p w:rsidR="00766340" w:rsidRPr="000F7D05" w:rsidRDefault="00766340" w:rsidP="00766340">
      <w:pPr>
        <w:numPr>
          <w:ilvl w:val="0"/>
          <w:numId w:val="4"/>
        </w:numPr>
        <w:rPr>
          <w:rFonts w:ascii="Cambria" w:hAnsi="Cambria"/>
          <w:i w:val="0"/>
          <w:sz w:val="24"/>
        </w:rPr>
      </w:pPr>
      <w:r w:rsidRPr="000F7D05">
        <w:rPr>
          <w:rFonts w:ascii="Cambria" w:hAnsi="Cambria"/>
          <w:b/>
          <w:bCs/>
          <w:i w:val="0"/>
          <w:sz w:val="24"/>
        </w:rPr>
        <w:t>Dose-Dependent Toxicity:</w:t>
      </w:r>
      <w:r w:rsidRPr="000F7D05">
        <w:rPr>
          <w:rFonts w:ascii="Cambria" w:hAnsi="Cambria"/>
          <w:i w:val="0"/>
          <w:sz w:val="24"/>
        </w:rPr>
        <w:t xml:space="preserve"> Leads to a decline in blood cell counts (anemia, leukopenia, thrombocytopenia), resulting in pancytopenia, especially with prolonged or repeated exposure.</w:t>
      </w:r>
    </w:p>
    <w:p w:rsidR="00766340" w:rsidRPr="000F7D05" w:rsidRDefault="00766340" w:rsidP="00766340">
      <w:pPr>
        <w:numPr>
          <w:ilvl w:val="0"/>
          <w:numId w:val="4"/>
        </w:numPr>
        <w:rPr>
          <w:rFonts w:ascii="Cambria" w:hAnsi="Cambria"/>
          <w:i w:val="0"/>
          <w:sz w:val="24"/>
        </w:rPr>
      </w:pPr>
      <w:r w:rsidRPr="000F7D05">
        <w:rPr>
          <w:rFonts w:ascii="Cambria" w:hAnsi="Cambria"/>
          <w:b/>
          <w:bCs/>
          <w:i w:val="0"/>
          <w:sz w:val="24"/>
        </w:rPr>
        <w:t>Non-Dose-Related Toxicity:</w:t>
      </w:r>
      <w:r w:rsidRPr="000F7D05">
        <w:rPr>
          <w:rFonts w:ascii="Cambria" w:hAnsi="Cambria"/>
          <w:i w:val="0"/>
          <w:sz w:val="24"/>
        </w:rPr>
        <w:t xml:space="preserve"> Manifests as "aplastic anemia, a rare but severe complication," which "may be caused by non-dose-related factors such as a hypersensitivity reaction or an idiosyncratic response." The risk of aplastic anemia does not contraindicate its use when necessary, but "the drug should never be employed in unclear situations or in diseases effectively treatable with other antimicrobial agents."</w:t>
      </w:r>
    </w:p>
    <w:p w:rsidR="00766340" w:rsidRPr="000F7D05" w:rsidRDefault="00766340" w:rsidP="00766340">
      <w:pPr>
        <w:numPr>
          <w:ilvl w:val="0"/>
          <w:numId w:val="4"/>
        </w:numPr>
        <w:rPr>
          <w:rFonts w:ascii="Cambria" w:hAnsi="Cambria"/>
          <w:i w:val="0"/>
          <w:sz w:val="24"/>
        </w:rPr>
      </w:pPr>
      <w:r w:rsidRPr="000F7D05">
        <w:rPr>
          <w:rFonts w:ascii="Cambria" w:hAnsi="Cambria"/>
          <w:b/>
          <w:bCs/>
          <w:i w:val="0"/>
          <w:sz w:val="24"/>
        </w:rPr>
        <w:t>Hemolysis and Jaundice:</w:t>
      </w:r>
      <w:r w:rsidRPr="000F7D05">
        <w:rPr>
          <w:rFonts w:ascii="Cambria" w:hAnsi="Cambria"/>
          <w:i w:val="0"/>
          <w:sz w:val="24"/>
        </w:rPr>
        <w:t xml:space="preserve"> Rare but severe reactions.</w:t>
      </w:r>
    </w:p>
    <w:p w:rsidR="00766340" w:rsidRPr="000F7D05" w:rsidRDefault="00766340" w:rsidP="00766340">
      <w:pPr>
        <w:numPr>
          <w:ilvl w:val="0"/>
          <w:numId w:val="4"/>
        </w:numPr>
        <w:rPr>
          <w:rFonts w:ascii="Cambria" w:hAnsi="Cambria"/>
          <w:i w:val="0"/>
          <w:sz w:val="24"/>
        </w:rPr>
      </w:pPr>
      <w:r w:rsidRPr="000F7D05">
        <w:rPr>
          <w:rFonts w:ascii="Cambria" w:hAnsi="Cambria"/>
          <w:b/>
          <w:bCs/>
          <w:i w:val="0"/>
          <w:sz w:val="24"/>
        </w:rPr>
        <w:t>Gray Baby Syndrome:</w:t>
      </w:r>
      <w:r w:rsidRPr="000F7D05">
        <w:rPr>
          <w:rFonts w:ascii="Cambria" w:hAnsi="Cambria"/>
          <w:i w:val="0"/>
          <w:sz w:val="24"/>
        </w:rPr>
        <w:t xml:space="preserve"> A "severe but uncommon side effect primarily affects infants and neonates," occurring 2-9 days after treatment. Symptoms include vomiting, irregular breathing, abdominal distension, and greenish stool. It is caused by the neonate's "inadequate activity of glucuronyl transferase in the liver (develop in first 3-4 week of life)" and "inadequate renal excretion of unconjugated drug."</w:t>
      </w:r>
    </w:p>
    <w:p w:rsidR="00766340" w:rsidRPr="000F7D05" w:rsidRDefault="00766340" w:rsidP="00766340">
      <w:pPr>
        <w:numPr>
          <w:ilvl w:val="0"/>
          <w:numId w:val="4"/>
        </w:numPr>
        <w:rPr>
          <w:rFonts w:ascii="Cambria" w:hAnsi="Cambria"/>
          <w:i w:val="0"/>
          <w:sz w:val="24"/>
        </w:rPr>
      </w:pPr>
      <w:r w:rsidRPr="000F7D05">
        <w:rPr>
          <w:rFonts w:ascii="Cambria" w:hAnsi="Cambria"/>
          <w:b/>
          <w:bCs/>
          <w:i w:val="0"/>
          <w:sz w:val="24"/>
        </w:rPr>
        <w:t>Hypersensitivity Reactions:</w:t>
      </w:r>
      <w:r w:rsidRPr="000F7D05">
        <w:rPr>
          <w:rFonts w:ascii="Cambria" w:hAnsi="Cambria"/>
          <w:i w:val="0"/>
          <w:sz w:val="24"/>
        </w:rPr>
        <w:t xml:space="preserve"> Rare, presenting as macular or vesicular skin rashes with fever.</w:t>
      </w:r>
    </w:p>
    <w:p w:rsidR="00766340" w:rsidRPr="000F7D05" w:rsidRDefault="00766340" w:rsidP="00766340">
      <w:pPr>
        <w:numPr>
          <w:ilvl w:val="0"/>
          <w:numId w:val="4"/>
        </w:numPr>
        <w:rPr>
          <w:rFonts w:ascii="Cambria" w:hAnsi="Cambria"/>
          <w:i w:val="0"/>
          <w:sz w:val="24"/>
        </w:rPr>
      </w:pPr>
      <w:r w:rsidRPr="000F7D05">
        <w:rPr>
          <w:rFonts w:ascii="Cambria" w:hAnsi="Cambria"/>
          <w:b/>
          <w:bCs/>
          <w:i w:val="0"/>
          <w:sz w:val="24"/>
        </w:rPr>
        <w:t>Pregnancy &amp; Breastfeeding:</w:t>
      </w:r>
      <w:r w:rsidRPr="000F7D05">
        <w:rPr>
          <w:rFonts w:ascii="Cambria" w:hAnsi="Cambria"/>
          <w:i w:val="0"/>
          <w:sz w:val="24"/>
        </w:rPr>
        <w:t xml:space="preserve"> Classified as Category D, posing a potential risk to the fetus and passing into breast milk.</w:t>
      </w:r>
    </w:p>
    <w:p w:rsidR="00766340" w:rsidRPr="000F7D05" w:rsidRDefault="00766340" w:rsidP="00FB207E">
      <w:pPr>
        <w:pStyle w:val="Heading3"/>
        <w:ind w:left="360"/>
        <w:rPr>
          <w:i/>
        </w:rPr>
      </w:pPr>
      <w:r w:rsidRPr="000F7D05">
        <w:t>Drug Interactions</w:t>
      </w:r>
    </w:p>
    <w:p w:rsidR="00766340" w:rsidRPr="000F7D05" w:rsidRDefault="00766340" w:rsidP="00766340">
      <w:pPr>
        <w:ind w:left="0" w:firstLine="0"/>
        <w:rPr>
          <w:rFonts w:ascii="Cambria" w:hAnsi="Cambria"/>
          <w:i w:val="0"/>
          <w:sz w:val="24"/>
        </w:rPr>
      </w:pPr>
      <w:r w:rsidRPr="000F7D05">
        <w:rPr>
          <w:rFonts w:ascii="Cambria" w:hAnsi="Cambria"/>
          <w:i w:val="0"/>
          <w:sz w:val="24"/>
        </w:rPr>
        <w:t>Chloramphenicol can "inhibit cytochrome P450 enzymes," leading to "prolonged half-lives for other drugs metabolized by the same system" (e.g., dicumarol, phenytoin, and tolbutamide). Conversely, drugs like phenobarbital and rifampin can "shorten the half-life of the antibiotic."</w:t>
      </w:r>
    </w:p>
    <w:p w:rsidR="00766340" w:rsidRPr="000F7D05" w:rsidRDefault="00766340" w:rsidP="00FB207E">
      <w:pPr>
        <w:pStyle w:val="Heading3"/>
        <w:ind w:left="360"/>
        <w:rPr>
          <w:i/>
        </w:rPr>
      </w:pPr>
      <w:r w:rsidRPr="000F7D05">
        <w:t>Forms Available</w:t>
      </w:r>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Available as injectable (IV) of 1g solution, eye drops (1% w/v and 0.5% w/v), eye ointment (1% w/w or 0.5% w/w), syrup/suspensions (125 mg per 5 ml), and topical ointments </w:t>
      </w:r>
      <w:r w:rsidRPr="000F7D05">
        <w:rPr>
          <w:rFonts w:ascii="Cambria" w:hAnsi="Cambria"/>
          <w:bCs/>
          <w:i w:val="0"/>
          <w:sz w:val="24"/>
        </w:rPr>
        <w:t>(0.3% w/w and 0.5% w/w)</w:t>
      </w:r>
      <w:r w:rsidRPr="000F7D05">
        <w:rPr>
          <w:rFonts w:ascii="Cambria" w:hAnsi="Cambria"/>
          <w:i w:val="0"/>
          <w:sz w:val="24"/>
        </w:rPr>
        <w:t>.</w:t>
      </w:r>
    </w:p>
    <w:p w:rsidR="00766340" w:rsidRPr="000F7D05" w:rsidRDefault="00766340" w:rsidP="00FB207E">
      <w:pPr>
        <w:pStyle w:val="Heading2"/>
        <w:rPr>
          <w:i/>
        </w:rPr>
      </w:pPr>
      <w:bookmarkStart w:id="3" w:name="_Toc204702936"/>
      <w:r w:rsidRPr="000F7D05">
        <w:t>Tetracyclines</w:t>
      </w:r>
      <w:bookmarkEnd w:id="3"/>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Tetracyclines are a "broad-spectrum </w:t>
      </w:r>
      <w:r w:rsidRPr="000F7D05">
        <w:rPr>
          <w:rFonts w:ascii="Cambria" w:hAnsi="Cambria"/>
          <w:b/>
          <w:i w:val="0"/>
          <w:sz w:val="24"/>
        </w:rPr>
        <w:t>bacteriostatic</w:t>
      </w:r>
      <w:r w:rsidRPr="000F7D05">
        <w:rPr>
          <w:rFonts w:ascii="Cambria" w:hAnsi="Cambria"/>
          <w:i w:val="0"/>
          <w:sz w:val="24"/>
        </w:rPr>
        <w:t xml:space="preserve"> antibiotics known for their efficacy against a wide range of bacteria."</w:t>
      </w:r>
    </w:p>
    <w:p w:rsidR="00766340" w:rsidRPr="000F7D05" w:rsidRDefault="00766340" w:rsidP="00FB207E">
      <w:pPr>
        <w:pStyle w:val="Heading3"/>
        <w:rPr>
          <w:i/>
        </w:rPr>
      </w:pPr>
      <w:r w:rsidRPr="000F7D05">
        <w:t>General Characteristics</w:t>
      </w:r>
    </w:p>
    <w:p w:rsidR="00766340" w:rsidRPr="000F7D05" w:rsidRDefault="00766340" w:rsidP="00766340">
      <w:pPr>
        <w:numPr>
          <w:ilvl w:val="0"/>
          <w:numId w:val="5"/>
        </w:numPr>
        <w:rPr>
          <w:rFonts w:ascii="Cambria" w:hAnsi="Cambria"/>
          <w:i w:val="0"/>
          <w:sz w:val="24"/>
        </w:rPr>
      </w:pPr>
      <w:r w:rsidRPr="000F7D05">
        <w:rPr>
          <w:rFonts w:ascii="Cambria" w:hAnsi="Cambria"/>
          <w:b/>
          <w:bCs/>
          <w:i w:val="0"/>
          <w:sz w:val="24"/>
        </w:rPr>
        <w:t>Mechanism of Action:</w:t>
      </w:r>
      <w:r w:rsidRPr="000F7D05">
        <w:rPr>
          <w:rFonts w:ascii="Cambria" w:hAnsi="Cambria"/>
          <w:i w:val="0"/>
          <w:sz w:val="24"/>
        </w:rPr>
        <w:t xml:space="preserve"> They "bind to the 30S ribosomal subunit of bacteria, preventing the attachment of aminoacyl-tRNA molecules to the ribosome." This halts peptide bond formation and protein synthesis.</w:t>
      </w:r>
    </w:p>
    <w:p w:rsidR="00766340" w:rsidRPr="000F7D05" w:rsidRDefault="00766340" w:rsidP="00766340">
      <w:pPr>
        <w:numPr>
          <w:ilvl w:val="0"/>
          <w:numId w:val="5"/>
        </w:numPr>
        <w:rPr>
          <w:rFonts w:ascii="Cambria" w:hAnsi="Cambria"/>
          <w:i w:val="0"/>
          <w:sz w:val="24"/>
        </w:rPr>
      </w:pPr>
      <w:r w:rsidRPr="000F7D05">
        <w:rPr>
          <w:rFonts w:ascii="Cambria" w:hAnsi="Cambria"/>
          <w:b/>
          <w:bCs/>
          <w:i w:val="0"/>
          <w:sz w:val="24"/>
        </w:rPr>
        <w:t>Spectrum of Activity:</w:t>
      </w:r>
      <w:r w:rsidRPr="000F7D05">
        <w:rPr>
          <w:rFonts w:ascii="Cambria" w:hAnsi="Cambria"/>
          <w:i w:val="0"/>
          <w:sz w:val="24"/>
        </w:rPr>
        <w:t xml:space="preserve"> Broad, including Gram-positive (e.g., </w:t>
      </w:r>
      <w:r w:rsidRPr="000F7D05">
        <w:rPr>
          <w:rFonts w:ascii="Cambria" w:hAnsi="Cambria"/>
          <w:i w:val="0"/>
          <w:iCs/>
          <w:sz w:val="24"/>
        </w:rPr>
        <w:t>S. aureus</w:t>
      </w:r>
      <w:r w:rsidRPr="000F7D05">
        <w:rPr>
          <w:rFonts w:ascii="Cambria" w:hAnsi="Cambria"/>
          <w:i w:val="0"/>
          <w:sz w:val="24"/>
        </w:rPr>
        <w:t xml:space="preserve">, </w:t>
      </w:r>
      <w:r w:rsidRPr="000F7D05">
        <w:rPr>
          <w:rFonts w:ascii="Cambria" w:hAnsi="Cambria"/>
          <w:i w:val="0"/>
          <w:iCs/>
          <w:sz w:val="24"/>
        </w:rPr>
        <w:t>S. pyogenes</w:t>
      </w:r>
      <w:r w:rsidRPr="000F7D05">
        <w:rPr>
          <w:rFonts w:ascii="Cambria" w:hAnsi="Cambria"/>
          <w:i w:val="0"/>
          <w:sz w:val="24"/>
        </w:rPr>
        <w:t xml:space="preserve">, </w:t>
      </w:r>
      <w:r w:rsidRPr="000F7D05">
        <w:rPr>
          <w:rFonts w:ascii="Cambria" w:hAnsi="Cambria"/>
          <w:i w:val="0"/>
          <w:iCs/>
          <w:sz w:val="24"/>
        </w:rPr>
        <w:t>S. pneumoniae</w:t>
      </w:r>
      <w:r w:rsidRPr="000F7D05">
        <w:rPr>
          <w:rFonts w:ascii="Cambria" w:hAnsi="Cambria"/>
          <w:i w:val="0"/>
          <w:sz w:val="24"/>
        </w:rPr>
        <w:t xml:space="preserve">, </w:t>
      </w:r>
      <w:r w:rsidRPr="000F7D05">
        <w:rPr>
          <w:rFonts w:ascii="Cambria" w:hAnsi="Cambria"/>
          <w:i w:val="0"/>
          <w:iCs/>
          <w:sz w:val="24"/>
        </w:rPr>
        <w:t>B. anthracis</w:t>
      </w:r>
      <w:r w:rsidRPr="000F7D05">
        <w:rPr>
          <w:rFonts w:ascii="Cambria" w:hAnsi="Cambria"/>
          <w:i w:val="0"/>
          <w:sz w:val="24"/>
        </w:rPr>
        <w:t xml:space="preserve">) and Gram-negative bacteria (e.g., </w:t>
      </w:r>
      <w:r w:rsidRPr="000F7D05">
        <w:rPr>
          <w:rFonts w:ascii="Cambria" w:hAnsi="Cambria"/>
          <w:i w:val="0"/>
          <w:iCs/>
          <w:sz w:val="24"/>
        </w:rPr>
        <w:t>E. coli</w:t>
      </w:r>
      <w:r w:rsidRPr="000F7D05">
        <w:rPr>
          <w:rFonts w:ascii="Cambria" w:hAnsi="Cambria"/>
          <w:i w:val="0"/>
          <w:sz w:val="24"/>
        </w:rPr>
        <w:t xml:space="preserve">, </w:t>
      </w:r>
      <w:r w:rsidRPr="000F7D05">
        <w:rPr>
          <w:rFonts w:ascii="Cambria" w:hAnsi="Cambria"/>
          <w:i w:val="0"/>
          <w:iCs/>
          <w:sz w:val="24"/>
        </w:rPr>
        <w:t>Salmonella</w:t>
      </w:r>
      <w:r w:rsidRPr="000F7D05">
        <w:rPr>
          <w:rFonts w:ascii="Cambria" w:hAnsi="Cambria"/>
          <w:i w:val="0"/>
          <w:sz w:val="24"/>
        </w:rPr>
        <w:t xml:space="preserve">, </w:t>
      </w:r>
      <w:r w:rsidRPr="000F7D05">
        <w:rPr>
          <w:rFonts w:ascii="Cambria" w:hAnsi="Cambria"/>
          <w:i w:val="0"/>
          <w:iCs/>
          <w:sz w:val="24"/>
        </w:rPr>
        <w:t>Shigella</w:t>
      </w:r>
      <w:r w:rsidRPr="000F7D05">
        <w:rPr>
          <w:rFonts w:ascii="Cambria" w:hAnsi="Cambria"/>
          <w:i w:val="0"/>
          <w:sz w:val="24"/>
        </w:rPr>
        <w:t xml:space="preserve">, </w:t>
      </w:r>
      <w:r w:rsidRPr="000F7D05">
        <w:rPr>
          <w:rFonts w:ascii="Cambria" w:hAnsi="Cambria"/>
          <w:i w:val="0"/>
          <w:iCs/>
          <w:sz w:val="24"/>
        </w:rPr>
        <w:t>Proteus mirabilis</w:t>
      </w:r>
      <w:r w:rsidRPr="000F7D05">
        <w:rPr>
          <w:rFonts w:ascii="Cambria" w:hAnsi="Cambria"/>
          <w:i w:val="0"/>
          <w:sz w:val="24"/>
        </w:rPr>
        <w:t>). They are particularly effective against "</w:t>
      </w:r>
      <w:r w:rsidRPr="000F7D05">
        <w:rPr>
          <w:rFonts w:ascii="Cambria" w:hAnsi="Cambria"/>
          <w:b/>
          <w:i w:val="0"/>
          <w:sz w:val="24"/>
        </w:rPr>
        <w:t>intracellular pathogens</w:t>
      </w:r>
      <w:r w:rsidRPr="000F7D05">
        <w:rPr>
          <w:rFonts w:ascii="Cambria" w:hAnsi="Cambria"/>
          <w:i w:val="0"/>
          <w:sz w:val="24"/>
        </w:rPr>
        <w:t xml:space="preserve"> like </w:t>
      </w:r>
      <w:r w:rsidRPr="000F7D05">
        <w:rPr>
          <w:rFonts w:ascii="Cambria" w:hAnsi="Cambria"/>
          <w:i w:val="0"/>
          <w:iCs/>
          <w:sz w:val="24"/>
        </w:rPr>
        <w:t>Rickettsia</w:t>
      </w:r>
      <w:r w:rsidRPr="000F7D05">
        <w:rPr>
          <w:rFonts w:ascii="Cambria" w:hAnsi="Cambria"/>
          <w:i w:val="0"/>
          <w:sz w:val="24"/>
        </w:rPr>
        <w:t xml:space="preserve"> and </w:t>
      </w:r>
      <w:r w:rsidRPr="000F7D05">
        <w:rPr>
          <w:rFonts w:ascii="Cambria" w:hAnsi="Cambria"/>
          <w:i w:val="0"/>
          <w:iCs/>
          <w:sz w:val="24"/>
        </w:rPr>
        <w:t>Chlamydia</w:t>
      </w:r>
      <w:r w:rsidRPr="000F7D05">
        <w:rPr>
          <w:rFonts w:ascii="Cambria" w:hAnsi="Cambria"/>
          <w:i w:val="0"/>
          <w:sz w:val="24"/>
        </w:rPr>
        <w:t>."</w:t>
      </w:r>
    </w:p>
    <w:p w:rsidR="00766340" w:rsidRPr="000F7D05" w:rsidRDefault="00766340" w:rsidP="00FB207E">
      <w:pPr>
        <w:pStyle w:val="Heading3"/>
        <w:rPr>
          <w:i/>
        </w:rPr>
      </w:pPr>
      <w:r w:rsidRPr="000F7D05">
        <w:t>Major Tetracycline Classes and Examples</w:t>
      </w:r>
    </w:p>
    <w:p w:rsidR="00766340" w:rsidRPr="000F7D05" w:rsidRDefault="00766340" w:rsidP="00FB207E">
      <w:pPr>
        <w:pStyle w:val="Heading3"/>
        <w:rPr>
          <w:i/>
        </w:rPr>
      </w:pPr>
      <w:r w:rsidRPr="000F7D05">
        <w:t>Tetracycline</w:t>
      </w:r>
    </w:p>
    <w:p w:rsidR="00766340" w:rsidRPr="000F7D05" w:rsidRDefault="00766340" w:rsidP="00766340">
      <w:pPr>
        <w:ind w:left="0" w:firstLine="0"/>
        <w:rPr>
          <w:rFonts w:ascii="Cambria" w:hAnsi="Cambria"/>
          <w:i w:val="0"/>
          <w:sz w:val="24"/>
        </w:rPr>
      </w:pPr>
      <w:r w:rsidRPr="000F7D05">
        <w:rPr>
          <w:rFonts w:ascii="Cambria" w:hAnsi="Cambria"/>
          <w:i w:val="0"/>
          <w:sz w:val="24"/>
        </w:rPr>
        <w:t>The parent drug.</w:t>
      </w:r>
    </w:p>
    <w:p w:rsidR="00766340" w:rsidRPr="000F7D05" w:rsidRDefault="00766340" w:rsidP="00766340">
      <w:pPr>
        <w:numPr>
          <w:ilvl w:val="0"/>
          <w:numId w:val="6"/>
        </w:numPr>
        <w:rPr>
          <w:rFonts w:ascii="Cambria" w:hAnsi="Cambria"/>
          <w:i w:val="0"/>
          <w:sz w:val="24"/>
        </w:rPr>
      </w:pPr>
      <w:r w:rsidRPr="000F7D05">
        <w:rPr>
          <w:rFonts w:ascii="Cambria" w:hAnsi="Cambria"/>
          <w:b/>
          <w:bCs/>
          <w:i w:val="0"/>
          <w:sz w:val="24"/>
        </w:rPr>
        <w:t>Pharmacokinetics:</w:t>
      </w:r>
      <w:r w:rsidRPr="000F7D05">
        <w:rPr>
          <w:rFonts w:ascii="Cambria" w:hAnsi="Cambria"/>
          <w:i w:val="0"/>
          <w:sz w:val="24"/>
        </w:rPr>
        <w:t xml:space="preserve"> Well absorbed orally. Absorption can be affected by food and multivalent cations (calcium, iron, aluminum).</w:t>
      </w:r>
    </w:p>
    <w:p w:rsidR="00766340" w:rsidRPr="000F7D05" w:rsidRDefault="00766340" w:rsidP="00766340">
      <w:pPr>
        <w:numPr>
          <w:ilvl w:val="0"/>
          <w:numId w:val="6"/>
        </w:numPr>
        <w:rPr>
          <w:rFonts w:ascii="Cambria" w:hAnsi="Cambria"/>
          <w:i w:val="0"/>
          <w:sz w:val="24"/>
        </w:rPr>
      </w:pPr>
      <w:r w:rsidRPr="000F7D05">
        <w:rPr>
          <w:rFonts w:ascii="Cambria" w:hAnsi="Cambria"/>
          <w:b/>
          <w:bCs/>
          <w:i w:val="0"/>
          <w:sz w:val="24"/>
        </w:rPr>
        <w:t>Clinical Applications:</w:t>
      </w:r>
      <w:r w:rsidRPr="000F7D05">
        <w:rPr>
          <w:rFonts w:ascii="Cambria" w:hAnsi="Cambria"/>
          <w:i w:val="0"/>
          <w:sz w:val="24"/>
        </w:rPr>
        <w:t xml:space="preserve"> Broad-spectrum antibiotic, effective against </w:t>
      </w:r>
      <w:r w:rsidRPr="000F7D05">
        <w:rPr>
          <w:rFonts w:ascii="Cambria" w:hAnsi="Cambria"/>
          <w:i w:val="0"/>
          <w:iCs/>
          <w:sz w:val="24"/>
        </w:rPr>
        <w:t>Mycoplasma</w:t>
      </w:r>
      <w:r w:rsidRPr="000F7D05">
        <w:rPr>
          <w:rFonts w:ascii="Cambria" w:hAnsi="Cambria"/>
          <w:i w:val="0"/>
          <w:sz w:val="24"/>
        </w:rPr>
        <w:t xml:space="preserve">, </w:t>
      </w:r>
      <w:r w:rsidRPr="000F7D05">
        <w:rPr>
          <w:rFonts w:ascii="Cambria" w:hAnsi="Cambria"/>
          <w:i w:val="0"/>
          <w:iCs/>
          <w:sz w:val="24"/>
        </w:rPr>
        <w:t>Rickettsia</w:t>
      </w:r>
      <w:r w:rsidRPr="000F7D05">
        <w:rPr>
          <w:rFonts w:ascii="Cambria" w:hAnsi="Cambria"/>
          <w:i w:val="0"/>
          <w:sz w:val="24"/>
        </w:rPr>
        <w:t xml:space="preserve">, </w:t>
      </w:r>
      <w:r w:rsidRPr="000F7D05">
        <w:rPr>
          <w:rFonts w:ascii="Cambria" w:hAnsi="Cambria"/>
          <w:i w:val="0"/>
          <w:iCs/>
          <w:sz w:val="24"/>
        </w:rPr>
        <w:t>Chlamydia</w:t>
      </w:r>
      <w:r w:rsidRPr="000F7D05">
        <w:rPr>
          <w:rFonts w:ascii="Cambria" w:hAnsi="Cambria"/>
          <w:i w:val="0"/>
          <w:sz w:val="24"/>
        </w:rPr>
        <w:t xml:space="preserve">, </w:t>
      </w:r>
      <w:r w:rsidRPr="000F7D05">
        <w:rPr>
          <w:rFonts w:ascii="Cambria" w:hAnsi="Cambria"/>
          <w:i w:val="0"/>
          <w:iCs/>
          <w:sz w:val="24"/>
        </w:rPr>
        <w:t>E. coli</w:t>
      </w:r>
      <w:r w:rsidRPr="000F7D05">
        <w:rPr>
          <w:rFonts w:ascii="Cambria" w:hAnsi="Cambria"/>
          <w:i w:val="0"/>
          <w:sz w:val="24"/>
        </w:rPr>
        <w:t xml:space="preserve">, </w:t>
      </w:r>
      <w:r w:rsidRPr="000F7D05">
        <w:rPr>
          <w:rFonts w:ascii="Cambria" w:hAnsi="Cambria"/>
          <w:i w:val="0"/>
          <w:iCs/>
          <w:sz w:val="24"/>
        </w:rPr>
        <w:t>S. aureus</w:t>
      </w:r>
      <w:r w:rsidRPr="000F7D05">
        <w:rPr>
          <w:rFonts w:ascii="Cambria" w:hAnsi="Cambria"/>
          <w:i w:val="0"/>
          <w:sz w:val="24"/>
        </w:rPr>
        <w:t xml:space="preserve">, </w:t>
      </w:r>
      <w:r w:rsidRPr="000F7D05">
        <w:rPr>
          <w:rFonts w:ascii="Cambria" w:hAnsi="Cambria"/>
          <w:i w:val="0"/>
          <w:iCs/>
          <w:sz w:val="24"/>
        </w:rPr>
        <w:t>S. pyogenes</w:t>
      </w:r>
      <w:r w:rsidRPr="000F7D05">
        <w:rPr>
          <w:rFonts w:ascii="Cambria" w:hAnsi="Cambria"/>
          <w:i w:val="0"/>
          <w:sz w:val="24"/>
        </w:rPr>
        <w:t xml:space="preserve">. Also has </w:t>
      </w:r>
      <w:r w:rsidRPr="000F7D05">
        <w:rPr>
          <w:rFonts w:ascii="Cambria" w:hAnsi="Cambria"/>
          <w:b/>
          <w:i w:val="0"/>
          <w:sz w:val="24"/>
        </w:rPr>
        <w:t>antiparasitic</w:t>
      </w:r>
      <w:r w:rsidRPr="000F7D05">
        <w:rPr>
          <w:rFonts w:ascii="Cambria" w:hAnsi="Cambria"/>
          <w:i w:val="0"/>
          <w:sz w:val="24"/>
        </w:rPr>
        <w:t xml:space="preserve"> activity for Lyme disease and malaria.</w:t>
      </w:r>
    </w:p>
    <w:p w:rsidR="00766340" w:rsidRPr="000F7D05" w:rsidRDefault="00766340" w:rsidP="00766340">
      <w:pPr>
        <w:numPr>
          <w:ilvl w:val="0"/>
          <w:numId w:val="6"/>
        </w:numPr>
        <w:rPr>
          <w:rFonts w:ascii="Cambria" w:hAnsi="Cambria"/>
          <w:i w:val="0"/>
          <w:sz w:val="24"/>
        </w:rPr>
      </w:pPr>
      <w:r w:rsidRPr="000F7D05">
        <w:rPr>
          <w:rFonts w:ascii="Cambria" w:hAnsi="Cambria"/>
          <w:b/>
          <w:bCs/>
          <w:i w:val="0"/>
          <w:sz w:val="24"/>
        </w:rPr>
        <w:t>Adverse Effects:</w:t>
      </w:r>
      <w:r w:rsidRPr="000F7D05">
        <w:rPr>
          <w:rFonts w:ascii="Cambria" w:hAnsi="Cambria"/>
          <w:i w:val="0"/>
          <w:sz w:val="24"/>
        </w:rPr>
        <w:t xml:space="preserve"> Oral absorption issues, and "Tetracycline-Induced </w:t>
      </w:r>
      <w:r w:rsidRPr="000F7D05">
        <w:rPr>
          <w:rFonts w:ascii="Cambria" w:hAnsi="Cambria"/>
          <w:b/>
          <w:i w:val="0"/>
          <w:sz w:val="24"/>
        </w:rPr>
        <w:t>Staining" of teeth</w:t>
      </w:r>
      <w:r w:rsidRPr="000F7D05">
        <w:rPr>
          <w:rFonts w:ascii="Cambria" w:hAnsi="Cambria"/>
          <w:i w:val="0"/>
          <w:sz w:val="24"/>
        </w:rPr>
        <w:t xml:space="preserve"> and permanent </w:t>
      </w:r>
      <w:r w:rsidRPr="000F7D05">
        <w:rPr>
          <w:rFonts w:ascii="Cambria" w:hAnsi="Cambria"/>
          <w:i w:val="0"/>
          <w:sz w:val="24"/>
          <w:u w:val="single"/>
        </w:rPr>
        <w:t>dentin</w:t>
      </w:r>
      <w:r w:rsidRPr="000F7D05">
        <w:rPr>
          <w:rFonts w:ascii="Cambria" w:hAnsi="Cambria"/>
          <w:i w:val="0"/>
          <w:sz w:val="24"/>
        </w:rPr>
        <w:t xml:space="preserve"> in children, causing "irreversible discoloration."</w:t>
      </w:r>
    </w:p>
    <w:p w:rsidR="00766340" w:rsidRPr="00FB207E" w:rsidRDefault="00766340" w:rsidP="00FB207E">
      <w:pPr>
        <w:pStyle w:val="Heading3"/>
      </w:pPr>
      <w:r w:rsidRPr="00FB207E">
        <w:rPr>
          <w:rStyle w:val="Heading3Char"/>
          <w:b/>
        </w:rPr>
        <w:t>Minocycline</w:t>
      </w:r>
      <w:r w:rsidRPr="00FB207E">
        <w:t xml:space="preserve"> (minocycline hydrochloride)</w:t>
      </w:r>
    </w:p>
    <w:p w:rsidR="00766340" w:rsidRPr="000F7D05" w:rsidRDefault="00766340" w:rsidP="00766340">
      <w:pPr>
        <w:numPr>
          <w:ilvl w:val="0"/>
          <w:numId w:val="7"/>
        </w:numPr>
        <w:rPr>
          <w:rFonts w:ascii="Cambria" w:hAnsi="Cambria"/>
          <w:i w:val="0"/>
          <w:sz w:val="24"/>
        </w:rPr>
      </w:pPr>
      <w:r w:rsidRPr="000F7D05">
        <w:rPr>
          <w:rFonts w:ascii="Cambria" w:hAnsi="Cambria"/>
          <w:b/>
          <w:bCs/>
          <w:i w:val="0"/>
          <w:sz w:val="24"/>
        </w:rPr>
        <w:t>Pharmacokinetics:</w:t>
      </w:r>
      <w:r w:rsidRPr="000F7D05">
        <w:rPr>
          <w:rFonts w:ascii="Cambria" w:hAnsi="Cambria"/>
          <w:i w:val="0"/>
          <w:sz w:val="24"/>
        </w:rPr>
        <w:t xml:space="preserve"> Highly bioavailable orally, longer half-life than tetracycline.</w:t>
      </w:r>
    </w:p>
    <w:p w:rsidR="00766340" w:rsidRPr="000F7D05" w:rsidRDefault="00766340" w:rsidP="00766340">
      <w:pPr>
        <w:numPr>
          <w:ilvl w:val="0"/>
          <w:numId w:val="7"/>
        </w:numPr>
        <w:rPr>
          <w:rFonts w:ascii="Cambria" w:hAnsi="Cambria"/>
          <w:i w:val="0"/>
          <w:sz w:val="24"/>
        </w:rPr>
      </w:pPr>
      <w:r w:rsidRPr="000F7D05">
        <w:rPr>
          <w:rFonts w:ascii="Cambria" w:hAnsi="Cambria"/>
          <w:b/>
          <w:bCs/>
          <w:i w:val="0"/>
          <w:sz w:val="24"/>
        </w:rPr>
        <w:t>Clinical Applications:</w:t>
      </w:r>
      <w:r w:rsidRPr="000F7D05">
        <w:rPr>
          <w:rFonts w:ascii="Cambria" w:hAnsi="Cambria"/>
          <w:i w:val="0"/>
          <w:sz w:val="24"/>
        </w:rPr>
        <w:t xml:space="preserve"> Effective against diverse bacterial infections including acne, Lyme disease, pneumonia. Its epithelial penetration makes it useful for skin conditions.</w:t>
      </w:r>
    </w:p>
    <w:p w:rsidR="00766340" w:rsidRPr="000F7D05" w:rsidRDefault="00766340" w:rsidP="00FB207E">
      <w:pPr>
        <w:pStyle w:val="Heading3"/>
        <w:rPr>
          <w:i/>
          <w:sz w:val="24"/>
        </w:rPr>
      </w:pPr>
      <w:r w:rsidRPr="000F7D05">
        <w:t>Doxycycline (Biliary excretion)</w:t>
      </w:r>
    </w:p>
    <w:p w:rsidR="00766340" w:rsidRPr="000F7D05" w:rsidRDefault="00766340" w:rsidP="00766340">
      <w:pPr>
        <w:ind w:left="0" w:firstLine="0"/>
        <w:rPr>
          <w:rFonts w:ascii="Cambria" w:hAnsi="Cambria"/>
          <w:i w:val="0"/>
          <w:sz w:val="24"/>
        </w:rPr>
      </w:pPr>
      <w:r w:rsidRPr="000F7D05">
        <w:rPr>
          <w:rFonts w:ascii="Cambria" w:hAnsi="Cambria"/>
          <w:i w:val="0"/>
          <w:sz w:val="24"/>
        </w:rPr>
        <w:t>A tetracycline derivative with high oral bioavailability.</w:t>
      </w:r>
    </w:p>
    <w:p w:rsidR="00766340" w:rsidRPr="000F7D05" w:rsidRDefault="00766340" w:rsidP="00766340">
      <w:pPr>
        <w:numPr>
          <w:ilvl w:val="0"/>
          <w:numId w:val="8"/>
        </w:numPr>
        <w:rPr>
          <w:rFonts w:ascii="Cambria" w:hAnsi="Cambria"/>
          <w:i w:val="0"/>
          <w:sz w:val="24"/>
        </w:rPr>
      </w:pPr>
      <w:r w:rsidRPr="000F7D05">
        <w:rPr>
          <w:rFonts w:ascii="Cambria" w:hAnsi="Cambria"/>
          <w:b/>
          <w:bCs/>
          <w:i w:val="0"/>
          <w:sz w:val="24"/>
        </w:rPr>
        <w:t>Pharmacokinetics:</w:t>
      </w:r>
      <w:r w:rsidRPr="000F7D05">
        <w:rPr>
          <w:rFonts w:ascii="Cambria" w:hAnsi="Cambria"/>
          <w:i w:val="0"/>
          <w:sz w:val="24"/>
        </w:rPr>
        <w:t xml:space="preserve"> Rapid oral absorption, highly bioavailable, metabolized primarily in the liver, </w:t>
      </w:r>
      <w:r w:rsidRPr="000F7D05">
        <w:rPr>
          <w:rFonts w:ascii="Cambria" w:hAnsi="Cambria"/>
          <w:i w:val="0"/>
          <w:sz w:val="24"/>
          <w:u w:val="single"/>
        </w:rPr>
        <w:t>excreted through bile</w:t>
      </w:r>
      <w:r w:rsidRPr="000F7D05">
        <w:rPr>
          <w:rFonts w:ascii="Cambria" w:hAnsi="Cambria"/>
          <w:i w:val="0"/>
          <w:sz w:val="24"/>
        </w:rPr>
        <w:t>.</w:t>
      </w:r>
    </w:p>
    <w:p w:rsidR="00766340" w:rsidRPr="000F7D05" w:rsidRDefault="00766340" w:rsidP="00766340">
      <w:pPr>
        <w:numPr>
          <w:ilvl w:val="0"/>
          <w:numId w:val="8"/>
        </w:numPr>
        <w:rPr>
          <w:rFonts w:ascii="Cambria" w:hAnsi="Cambria"/>
          <w:i w:val="0"/>
          <w:sz w:val="24"/>
        </w:rPr>
      </w:pPr>
      <w:r w:rsidRPr="000F7D05">
        <w:rPr>
          <w:rFonts w:ascii="Cambria" w:hAnsi="Cambria"/>
          <w:b/>
          <w:bCs/>
          <w:i w:val="0"/>
          <w:sz w:val="24"/>
        </w:rPr>
        <w:t>Clinical Applications:</w:t>
      </w:r>
      <w:r w:rsidRPr="000F7D05">
        <w:rPr>
          <w:rFonts w:ascii="Cambria" w:hAnsi="Cambria"/>
          <w:i w:val="0"/>
          <w:sz w:val="24"/>
        </w:rPr>
        <w:t xml:space="preserve"> Broad-spectrum, effective against </w:t>
      </w:r>
      <w:r w:rsidRPr="000F7D05">
        <w:rPr>
          <w:rFonts w:ascii="Cambria" w:hAnsi="Cambria"/>
          <w:i w:val="0"/>
          <w:iCs/>
          <w:sz w:val="24"/>
        </w:rPr>
        <w:t>Mycoplasma</w:t>
      </w:r>
      <w:r w:rsidRPr="000F7D05">
        <w:rPr>
          <w:rFonts w:ascii="Cambria" w:hAnsi="Cambria"/>
          <w:i w:val="0"/>
          <w:sz w:val="24"/>
        </w:rPr>
        <w:t xml:space="preserve">, </w:t>
      </w:r>
      <w:r w:rsidRPr="000F7D05">
        <w:rPr>
          <w:rFonts w:ascii="Cambria" w:hAnsi="Cambria"/>
          <w:i w:val="0"/>
          <w:iCs/>
          <w:sz w:val="24"/>
        </w:rPr>
        <w:t>Rickettsia</w:t>
      </w:r>
      <w:r w:rsidRPr="000F7D05">
        <w:rPr>
          <w:rFonts w:ascii="Cambria" w:hAnsi="Cambria"/>
          <w:i w:val="0"/>
          <w:sz w:val="24"/>
        </w:rPr>
        <w:t xml:space="preserve">, </w:t>
      </w:r>
      <w:r w:rsidRPr="000F7D05">
        <w:rPr>
          <w:rFonts w:ascii="Cambria" w:hAnsi="Cambria"/>
          <w:i w:val="0"/>
          <w:iCs/>
          <w:sz w:val="24"/>
        </w:rPr>
        <w:t>Chlamydia, and acne</w:t>
      </w:r>
      <w:r w:rsidRPr="000F7D05">
        <w:rPr>
          <w:rFonts w:ascii="Cambria" w:hAnsi="Cambria"/>
          <w:i w:val="0"/>
          <w:sz w:val="24"/>
        </w:rPr>
        <w:t>.</w:t>
      </w:r>
    </w:p>
    <w:p w:rsidR="00766340" w:rsidRPr="000F7D05" w:rsidRDefault="00766340" w:rsidP="00FB207E">
      <w:pPr>
        <w:pStyle w:val="Heading3"/>
        <w:rPr>
          <w:i/>
        </w:rPr>
      </w:pPr>
      <w:r w:rsidRPr="000F7D05">
        <w:t>Adverse Effects of Tetracyclines (General)</w:t>
      </w:r>
    </w:p>
    <w:p w:rsidR="00766340" w:rsidRPr="000F7D05" w:rsidRDefault="00766340" w:rsidP="00766340">
      <w:pPr>
        <w:numPr>
          <w:ilvl w:val="0"/>
          <w:numId w:val="9"/>
        </w:numPr>
        <w:rPr>
          <w:rFonts w:ascii="Cambria" w:hAnsi="Cambria"/>
          <w:i w:val="0"/>
          <w:sz w:val="24"/>
        </w:rPr>
      </w:pPr>
      <w:r w:rsidRPr="000F7D05">
        <w:rPr>
          <w:rFonts w:ascii="Cambria" w:hAnsi="Cambria"/>
          <w:b/>
          <w:bCs/>
          <w:i w:val="0"/>
          <w:sz w:val="24"/>
        </w:rPr>
        <w:t>Gastrointestinal Side Effects:</w:t>
      </w:r>
      <w:r w:rsidRPr="000F7D05">
        <w:rPr>
          <w:rFonts w:ascii="Cambria" w:hAnsi="Cambria"/>
          <w:i w:val="0"/>
          <w:sz w:val="24"/>
        </w:rPr>
        <w:t xml:space="preserve"> Nausea, vomiting, diarrhea, stomachaches, especially at higher doses.</w:t>
      </w:r>
    </w:p>
    <w:p w:rsidR="00766340" w:rsidRPr="000F7D05" w:rsidRDefault="00766340" w:rsidP="00766340">
      <w:pPr>
        <w:numPr>
          <w:ilvl w:val="0"/>
          <w:numId w:val="9"/>
        </w:numPr>
        <w:rPr>
          <w:rFonts w:ascii="Cambria" w:hAnsi="Cambria"/>
          <w:i w:val="0"/>
          <w:sz w:val="24"/>
        </w:rPr>
      </w:pPr>
      <w:r w:rsidRPr="000F7D05">
        <w:rPr>
          <w:rFonts w:ascii="Cambria" w:hAnsi="Cambria"/>
          <w:b/>
          <w:bCs/>
          <w:i w:val="0"/>
          <w:sz w:val="24"/>
        </w:rPr>
        <w:t>Photosensitivity:</w:t>
      </w:r>
      <w:r w:rsidRPr="000F7D05">
        <w:rPr>
          <w:rFonts w:ascii="Cambria" w:hAnsi="Cambria"/>
          <w:i w:val="0"/>
          <w:sz w:val="24"/>
        </w:rPr>
        <w:t xml:space="preserve"> Increased risk of sunburn or skin reactions.</w:t>
      </w:r>
    </w:p>
    <w:p w:rsidR="00766340" w:rsidRPr="000F7D05" w:rsidRDefault="00766340" w:rsidP="00766340">
      <w:pPr>
        <w:numPr>
          <w:ilvl w:val="0"/>
          <w:numId w:val="9"/>
        </w:numPr>
        <w:rPr>
          <w:rFonts w:ascii="Cambria" w:hAnsi="Cambria"/>
          <w:i w:val="0"/>
          <w:sz w:val="24"/>
        </w:rPr>
      </w:pPr>
      <w:r w:rsidRPr="000F7D05">
        <w:rPr>
          <w:rFonts w:ascii="Cambria" w:hAnsi="Cambria"/>
          <w:b/>
          <w:bCs/>
          <w:i w:val="0"/>
          <w:sz w:val="24"/>
        </w:rPr>
        <w:t>Chelation:</w:t>
      </w:r>
      <w:r w:rsidRPr="000F7D05">
        <w:rPr>
          <w:rFonts w:ascii="Cambria" w:hAnsi="Cambria"/>
          <w:i w:val="0"/>
          <w:sz w:val="24"/>
        </w:rPr>
        <w:t xml:space="preserve"> Can bind to calcium, potentially leading to hypocalcemia.</w:t>
      </w:r>
    </w:p>
    <w:p w:rsidR="00766340" w:rsidRPr="000F7D05" w:rsidRDefault="00766340" w:rsidP="00766340">
      <w:pPr>
        <w:numPr>
          <w:ilvl w:val="0"/>
          <w:numId w:val="9"/>
        </w:numPr>
        <w:rPr>
          <w:rFonts w:ascii="Cambria" w:hAnsi="Cambria"/>
          <w:i w:val="0"/>
          <w:sz w:val="24"/>
        </w:rPr>
      </w:pPr>
      <w:r w:rsidRPr="000F7D05">
        <w:rPr>
          <w:rFonts w:ascii="Cambria" w:hAnsi="Cambria"/>
          <w:b/>
          <w:bCs/>
          <w:i w:val="0"/>
          <w:sz w:val="24"/>
        </w:rPr>
        <w:t>Teeth Staining:</w:t>
      </w:r>
      <w:r w:rsidRPr="000F7D05">
        <w:rPr>
          <w:rFonts w:ascii="Cambria" w:hAnsi="Cambria"/>
          <w:i w:val="0"/>
          <w:sz w:val="24"/>
        </w:rPr>
        <w:t xml:space="preserve"> "Permanent" staining, a major concern for children and pregnant women.</w:t>
      </w:r>
    </w:p>
    <w:p w:rsidR="00766340" w:rsidRPr="000F7D05" w:rsidRDefault="00766340" w:rsidP="00766340">
      <w:pPr>
        <w:numPr>
          <w:ilvl w:val="0"/>
          <w:numId w:val="9"/>
        </w:numPr>
        <w:rPr>
          <w:rFonts w:ascii="Cambria" w:hAnsi="Cambria"/>
          <w:i w:val="0"/>
          <w:sz w:val="24"/>
        </w:rPr>
      </w:pPr>
      <w:r w:rsidRPr="000F7D05">
        <w:rPr>
          <w:rFonts w:ascii="Cambria" w:hAnsi="Cambria"/>
          <w:b/>
          <w:bCs/>
          <w:i w:val="0"/>
          <w:sz w:val="24"/>
        </w:rPr>
        <w:t>Drug Interactions:</w:t>
      </w:r>
      <w:r w:rsidRPr="000F7D05">
        <w:rPr>
          <w:rFonts w:ascii="Cambria" w:hAnsi="Cambria"/>
          <w:i w:val="0"/>
          <w:sz w:val="24"/>
        </w:rPr>
        <w:t xml:space="preserve"> Reduced absorption with calcium-containing supplements, antacids, and iron supplements.</w:t>
      </w:r>
    </w:p>
    <w:p w:rsidR="00766340" w:rsidRPr="000F7D05" w:rsidRDefault="00766340" w:rsidP="00FB207E">
      <w:pPr>
        <w:pStyle w:val="Heading3"/>
        <w:rPr>
          <w:i/>
        </w:rPr>
      </w:pPr>
      <w:r w:rsidRPr="000F7D05">
        <w:t>Clinical Applications and Indications (General)</w:t>
      </w:r>
    </w:p>
    <w:p w:rsidR="00766340" w:rsidRPr="000F7D05" w:rsidRDefault="00766340" w:rsidP="00766340">
      <w:pPr>
        <w:numPr>
          <w:ilvl w:val="0"/>
          <w:numId w:val="10"/>
        </w:numPr>
        <w:rPr>
          <w:rFonts w:ascii="Cambria" w:hAnsi="Cambria"/>
          <w:i w:val="0"/>
          <w:sz w:val="24"/>
        </w:rPr>
      </w:pPr>
      <w:r w:rsidRPr="000F7D05">
        <w:rPr>
          <w:rFonts w:ascii="Cambria" w:hAnsi="Cambria"/>
          <w:b/>
          <w:bCs/>
          <w:i w:val="0"/>
          <w:sz w:val="24"/>
        </w:rPr>
        <w:t>Acne Treatment:</w:t>
      </w:r>
      <w:r w:rsidRPr="000F7D05">
        <w:rPr>
          <w:rFonts w:ascii="Cambria" w:hAnsi="Cambria"/>
          <w:i w:val="0"/>
          <w:sz w:val="24"/>
        </w:rPr>
        <w:t xml:space="preserve"> Topical doxycycline.</w:t>
      </w:r>
    </w:p>
    <w:p w:rsidR="00766340" w:rsidRPr="000F7D05" w:rsidRDefault="00766340" w:rsidP="00766340">
      <w:pPr>
        <w:numPr>
          <w:ilvl w:val="0"/>
          <w:numId w:val="10"/>
        </w:numPr>
        <w:rPr>
          <w:rFonts w:ascii="Cambria" w:hAnsi="Cambria"/>
          <w:i w:val="0"/>
          <w:sz w:val="24"/>
        </w:rPr>
      </w:pPr>
      <w:r w:rsidRPr="000F7D05">
        <w:rPr>
          <w:rFonts w:ascii="Cambria" w:hAnsi="Cambria"/>
          <w:b/>
          <w:bCs/>
          <w:i w:val="0"/>
          <w:sz w:val="24"/>
        </w:rPr>
        <w:t>Lyme Disease Treatment:</w:t>
      </w:r>
      <w:r w:rsidRPr="000F7D05">
        <w:rPr>
          <w:rFonts w:ascii="Cambria" w:hAnsi="Cambria"/>
          <w:i w:val="0"/>
          <w:sz w:val="24"/>
        </w:rPr>
        <w:t xml:space="preserve"> Highly effective, especially in early stages.</w:t>
      </w:r>
    </w:p>
    <w:p w:rsidR="00766340" w:rsidRPr="000F7D05" w:rsidRDefault="00766340" w:rsidP="00766340">
      <w:pPr>
        <w:numPr>
          <w:ilvl w:val="0"/>
          <w:numId w:val="10"/>
        </w:numPr>
        <w:rPr>
          <w:rFonts w:ascii="Cambria" w:hAnsi="Cambria"/>
          <w:i w:val="0"/>
          <w:sz w:val="24"/>
        </w:rPr>
      </w:pPr>
      <w:r w:rsidRPr="000F7D05">
        <w:rPr>
          <w:rFonts w:ascii="Cambria" w:hAnsi="Cambria"/>
          <w:b/>
          <w:bCs/>
          <w:i w:val="0"/>
          <w:sz w:val="24"/>
        </w:rPr>
        <w:t>Rocky Mountain Spotted Fever:</w:t>
      </w:r>
      <w:r w:rsidRPr="000F7D05">
        <w:rPr>
          <w:rFonts w:ascii="Cambria" w:hAnsi="Cambria"/>
          <w:i w:val="0"/>
          <w:sz w:val="24"/>
        </w:rPr>
        <w:t xml:space="preserve"> Caused by </w:t>
      </w:r>
      <w:r w:rsidRPr="000F7D05">
        <w:rPr>
          <w:rFonts w:ascii="Cambria" w:hAnsi="Cambria"/>
          <w:i w:val="0"/>
          <w:iCs/>
          <w:sz w:val="24"/>
        </w:rPr>
        <w:t>Rickettsia rickettsii</w:t>
      </w:r>
      <w:r w:rsidRPr="000F7D05">
        <w:rPr>
          <w:rFonts w:ascii="Cambria" w:hAnsi="Cambria"/>
          <w:i w:val="0"/>
          <w:sz w:val="24"/>
        </w:rPr>
        <w:t>.</w:t>
      </w:r>
    </w:p>
    <w:p w:rsidR="00766340" w:rsidRPr="000F7D05" w:rsidRDefault="00766340" w:rsidP="00766340">
      <w:pPr>
        <w:numPr>
          <w:ilvl w:val="0"/>
          <w:numId w:val="10"/>
        </w:numPr>
        <w:rPr>
          <w:rFonts w:ascii="Cambria" w:hAnsi="Cambria"/>
          <w:i w:val="0"/>
          <w:sz w:val="24"/>
        </w:rPr>
      </w:pPr>
      <w:r w:rsidRPr="000F7D05">
        <w:rPr>
          <w:rFonts w:ascii="Cambria" w:hAnsi="Cambria"/>
          <w:b/>
          <w:bCs/>
          <w:i w:val="0"/>
          <w:sz w:val="24"/>
        </w:rPr>
        <w:t>Other Infections:</w:t>
      </w:r>
      <w:r w:rsidRPr="000F7D05">
        <w:rPr>
          <w:rFonts w:ascii="Cambria" w:hAnsi="Cambria"/>
          <w:i w:val="0"/>
          <w:sz w:val="24"/>
        </w:rPr>
        <w:t xml:space="preserve"> Pneumonia, chlamydial infections.</w:t>
      </w:r>
    </w:p>
    <w:p w:rsidR="00766340" w:rsidRPr="000F7D05" w:rsidRDefault="00766340" w:rsidP="00766340">
      <w:pPr>
        <w:ind w:left="0" w:firstLine="0"/>
        <w:rPr>
          <w:rFonts w:ascii="Cambria" w:hAnsi="Cambria"/>
          <w:i w:val="0"/>
          <w:sz w:val="24"/>
        </w:rPr>
      </w:pPr>
      <w:r w:rsidRPr="000F7D05">
        <w:rPr>
          <w:rFonts w:ascii="Cambria" w:eastAsiaTheme="majorEastAsia" w:hAnsi="Cambria" w:cstheme="majorBidi"/>
          <w:b/>
          <w:i w:val="0"/>
          <w:sz w:val="28"/>
          <w:szCs w:val="24"/>
        </w:rPr>
        <w:t>Important Considerations</w:t>
      </w:r>
    </w:p>
    <w:p w:rsidR="00766340" w:rsidRPr="000F7D05" w:rsidRDefault="00766340" w:rsidP="00766340">
      <w:pPr>
        <w:numPr>
          <w:ilvl w:val="0"/>
          <w:numId w:val="11"/>
        </w:numPr>
        <w:rPr>
          <w:rFonts w:ascii="Cambria" w:hAnsi="Cambria"/>
          <w:i w:val="0"/>
          <w:sz w:val="24"/>
        </w:rPr>
      </w:pPr>
      <w:r w:rsidRPr="000F7D05">
        <w:rPr>
          <w:rFonts w:ascii="Cambria" w:hAnsi="Cambria"/>
          <w:b/>
          <w:bCs/>
          <w:i w:val="0"/>
          <w:sz w:val="24"/>
        </w:rPr>
        <w:t>Pregnancy and Breastfeeding:</w:t>
      </w:r>
      <w:r w:rsidRPr="000F7D05">
        <w:rPr>
          <w:rFonts w:ascii="Cambria" w:hAnsi="Cambria"/>
          <w:i w:val="0"/>
          <w:sz w:val="24"/>
        </w:rPr>
        <w:t xml:space="preserve"> Tetracyclines "can cross the placenta and pass into breast milk, posing potential risks for infants."</w:t>
      </w:r>
    </w:p>
    <w:p w:rsidR="00766340" w:rsidRPr="000F7D05" w:rsidRDefault="00766340" w:rsidP="00766340">
      <w:pPr>
        <w:numPr>
          <w:ilvl w:val="0"/>
          <w:numId w:val="11"/>
        </w:numPr>
        <w:rPr>
          <w:rFonts w:ascii="Cambria" w:hAnsi="Cambria"/>
          <w:i w:val="0"/>
          <w:sz w:val="24"/>
        </w:rPr>
      </w:pPr>
      <w:r w:rsidRPr="000F7D05">
        <w:rPr>
          <w:rFonts w:ascii="Cambria" w:hAnsi="Cambria"/>
          <w:b/>
          <w:bCs/>
          <w:i w:val="0"/>
          <w:sz w:val="24"/>
        </w:rPr>
        <w:t>Children:</w:t>
      </w:r>
      <w:r w:rsidRPr="000F7D05">
        <w:rPr>
          <w:rFonts w:ascii="Cambria" w:hAnsi="Cambria"/>
          <w:i w:val="0"/>
          <w:sz w:val="24"/>
        </w:rPr>
        <w:t xml:space="preserve"> Generally avoided due to impact on dental health.</w:t>
      </w:r>
    </w:p>
    <w:p w:rsidR="00766340" w:rsidRPr="000F7D05" w:rsidRDefault="00766340" w:rsidP="00FB207E">
      <w:pPr>
        <w:pStyle w:val="Heading2"/>
        <w:rPr>
          <w:i/>
        </w:rPr>
      </w:pPr>
      <w:bookmarkStart w:id="4" w:name="_Toc204702937"/>
      <w:r w:rsidRPr="000F7D05">
        <w:t>Oxazolidinones</w:t>
      </w:r>
      <w:bookmarkEnd w:id="4"/>
    </w:p>
    <w:p w:rsidR="00766340" w:rsidRPr="000F7D05" w:rsidRDefault="00766340" w:rsidP="00FB207E">
      <w:pPr>
        <w:pStyle w:val="Heading3"/>
        <w:rPr>
          <w:i/>
          <w:sz w:val="24"/>
        </w:rPr>
      </w:pPr>
      <w:r w:rsidRPr="000F7D05">
        <w:t>Linezolid</w:t>
      </w:r>
    </w:p>
    <w:p w:rsidR="00766340" w:rsidRPr="000F7D05" w:rsidRDefault="00766340" w:rsidP="00766340">
      <w:pPr>
        <w:ind w:left="0" w:firstLine="0"/>
        <w:rPr>
          <w:rFonts w:ascii="Cambria" w:hAnsi="Cambria"/>
          <w:i w:val="0"/>
          <w:sz w:val="24"/>
        </w:rPr>
      </w:pPr>
      <w:r w:rsidRPr="000F7D05">
        <w:rPr>
          <w:rFonts w:ascii="Cambria" w:hAnsi="Cambria"/>
          <w:i w:val="0"/>
          <w:sz w:val="24"/>
        </w:rPr>
        <w:t>A crucial antibiotic against "multidrug-resistant Gram-positive bacteria," including MRSA and VRE.</w:t>
      </w:r>
    </w:p>
    <w:p w:rsidR="00766340" w:rsidRPr="000F7D05" w:rsidRDefault="00766340" w:rsidP="00766340">
      <w:pPr>
        <w:numPr>
          <w:ilvl w:val="0"/>
          <w:numId w:val="12"/>
        </w:numPr>
        <w:rPr>
          <w:rFonts w:ascii="Cambria" w:hAnsi="Cambria"/>
          <w:i w:val="0"/>
          <w:sz w:val="24"/>
        </w:rPr>
      </w:pPr>
      <w:r w:rsidRPr="000F7D05">
        <w:rPr>
          <w:rFonts w:ascii="Cambria" w:hAnsi="Cambria"/>
          <w:b/>
          <w:bCs/>
          <w:i w:val="0"/>
          <w:sz w:val="24"/>
        </w:rPr>
        <w:t>Mechanism of Action:</w:t>
      </w:r>
      <w:r w:rsidRPr="000F7D05">
        <w:rPr>
          <w:rFonts w:ascii="Cambria" w:hAnsi="Cambria"/>
          <w:i w:val="0"/>
          <w:sz w:val="24"/>
        </w:rPr>
        <w:t xml:space="preserve"> Binds to a "unique region on the </w:t>
      </w:r>
      <w:r w:rsidRPr="000F7D05">
        <w:rPr>
          <w:rFonts w:ascii="Cambria" w:hAnsi="Cambria"/>
          <w:b/>
          <w:i w:val="0"/>
          <w:sz w:val="24"/>
        </w:rPr>
        <w:t>23S ribosomal RNA</w:t>
      </w:r>
      <w:r w:rsidRPr="000F7D05">
        <w:rPr>
          <w:rFonts w:ascii="Cambria" w:hAnsi="Cambria"/>
          <w:i w:val="0"/>
          <w:sz w:val="24"/>
        </w:rPr>
        <w:t xml:space="preserve"> within the 50S subunit, known as the P site, preventing formation of the larger ribosome-fMet-tRNA complex," thus inhibiting the initiation of protein synthesis. Primarily </w:t>
      </w:r>
      <w:r w:rsidRPr="000F7D05">
        <w:rPr>
          <w:rFonts w:ascii="Cambria" w:hAnsi="Cambria"/>
          <w:b/>
          <w:i w:val="0"/>
          <w:sz w:val="24"/>
        </w:rPr>
        <w:t>bacteriostatic</w:t>
      </w:r>
      <w:r w:rsidRPr="000F7D05">
        <w:rPr>
          <w:rFonts w:ascii="Cambria" w:hAnsi="Cambria"/>
          <w:i w:val="0"/>
          <w:sz w:val="24"/>
        </w:rPr>
        <w:t xml:space="preserve">, but can be bactericidal against </w:t>
      </w:r>
      <w:r w:rsidRPr="000F7D05">
        <w:rPr>
          <w:rFonts w:ascii="Cambria" w:hAnsi="Cambria"/>
          <w:i w:val="0"/>
          <w:iCs/>
          <w:sz w:val="24"/>
        </w:rPr>
        <w:t>Streptococcus</w:t>
      </w:r>
      <w:r w:rsidRPr="000F7D05">
        <w:rPr>
          <w:rFonts w:ascii="Cambria" w:hAnsi="Cambria"/>
          <w:i w:val="0"/>
          <w:sz w:val="24"/>
        </w:rPr>
        <w:t xml:space="preserve"> species.</w:t>
      </w:r>
    </w:p>
    <w:p w:rsidR="00766340" w:rsidRPr="000F7D05" w:rsidRDefault="00766340" w:rsidP="00766340">
      <w:pPr>
        <w:numPr>
          <w:ilvl w:val="0"/>
          <w:numId w:val="12"/>
        </w:numPr>
        <w:rPr>
          <w:rFonts w:ascii="Cambria" w:hAnsi="Cambria"/>
          <w:i w:val="0"/>
          <w:sz w:val="24"/>
        </w:rPr>
      </w:pPr>
      <w:r w:rsidRPr="000F7D05">
        <w:rPr>
          <w:rFonts w:ascii="Cambria" w:hAnsi="Cambria"/>
          <w:b/>
          <w:bCs/>
          <w:i w:val="0"/>
          <w:sz w:val="24"/>
        </w:rPr>
        <w:t>Pharmacokinetics:</w:t>
      </w:r>
      <w:r w:rsidRPr="000F7D05">
        <w:rPr>
          <w:rFonts w:ascii="Cambria" w:hAnsi="Cambria"/>
          <w:i w:val="0"/>
          <w:sz w:val="24"/>
        </w:rPr>
        <w:t xml:space="preserve"> High oral bioavailability (100%), short half-life (4-6 hours). Does not affect cytochrome P450 enzymes.</w:t>
      </w:r>
    </w:p>
    <w:p w:rsidR="00766340" w:rsidRPr="000F7D05" w:rsidRDefault="00766340" w:rsidP="00766340">
      <w:pPr>
        <w:numPr>
          <w:ilvl w:val="0"/>
          <w:numId w:val="12"/>
        </w:numPr>
        <w:rPr>
          <w:rFonts w:ascii="Cambria" w:hAnsi="Cambria"/>
          <w:i w:val="0"/>
          <w:sz w:val="24"/>
        </w:rPr>
      </w:pPr>
      <w:r w:rsidRPr="000F7D05">
        <w:rPr>
          <w:rFonts w:ascii="Cambria" w:hAnsi="Cambria"/>
          <w:b/>
          <w:bCs/>
          <w:i w:val="0"/>
          <w:sz w:val="24"/>
        </w:rPr>
        <w:t>Clinical Uses:</w:t>
      </w:r>
    </w:p>
    <w:p w:rsidR="00766340" w:rsidRPr="000F7D05" w:rsidRDefault="00766340" w:rsidP="00766340">
      <w:pPr>
        <w:numPr>
          <w:ilvl w:val="1"/>
          <w:numId w:val="12"/>
        </w:numPr>
        <w:rPr>
          <w:rFonts w:ascii="Cambria" w:hAnsi="Cambria"/>
          <w:i w:val="0"/>
          <w:sz w:val="24"/>
        </w:rPr>
      </w:pPr>
      <w:r w:rsidRPr="000F7D05">
        <w:rPr>
          <w:rFonts w:ascii="Cambria" w:hAnsi="Cambria"/>
          <w:i w:val="0"/>
          <w:sz w:val="24"/>
        </w:rPr>
        <w:t>Vancomycin-Resistant Infections (</w:t>
      </w:r>
      <w:r w:rsidRPr="000F7D05">
        <w:rPr>
          <w:rFonts w:ascii="Cambria" w:hAnsi="Cambria"/>
          <w:i w:val="0"/>
          <w:iCs/>
          <w:sz w:val="24"/>
        </w:rPr>
        <w:t>Enterococcus faecium</w:t>
      </w:r>
      <w:r w:rsidRPr="000F7D05">
        <w:rPr>
          <w:rFonts w:ascii="Cambria" w:hAnsi="Cambria"/>
          <w:i w:val="0"/>
          <w:sz w:val="24"/>
        </w:rPr>
        <w:t>).</w:t>
      </w:r>
    </w:p>
    <w:p w:rsidR="00766340" w:rsidRPr="000F7D05" w:rsidRDefault="00766340" w:rsidP="00766340">
      <w:pPr>
        <w:numPr>
          <w:ilvl w:val="1"/>
          <w:numId w:val="12"/>
        </w:numPr>
        <w:rPr>
          <w:rFonts w:ascii="Cambria" w:hAnsi="Cambria"/>
          <w:i w:val="0"/>
          <w:sz w:val="24"/>
        </w:rPr>
      </w:pPr>
      <w:r w:rsidRPr="000F7D05">
        <w:rPr>
          <w:rFonts w:ascii="Cambria" w:hAnsi="Cambria"/>
          <w:i w:val="0"/>
          <w:sz w:val="24"/>
        </w:rPr>
        <w:t>Hospital-Acquired and Community-Acquired Pneumonia.</w:t>
      </w:r>
    </w:p>
    <w:p w:rsidR="00766340" w:rsidRPr="000F7D05" w:rsidRDefault="00766340" w:rsidP="00766340">
      <w:pPr>
        <w:numPr>
          <w:ilvl w:val="1"/>
          <w:numId w:val="12"/>
        </w:numPr>
        <w:rPr>
          <w:rFonts w:ascii="Cambria" w:hAnsi="Cambria"/>
          <w:i w:val="0"/>
          <w:sz w:val="24"/>
        </w:rPr>
      </w:pPr>
      <w:r w:rsidRPr="000F7D05">
        <w:rPr>
          <w:rFonts w:ascii="Cambria" w:hAnsi="Cambria"/>
          <w:i w:val="0"/>
          <w:sz w:val="24"/>
        </w:rPr>
        <w:t>Skin and Soft Tissue Infections (SSTIs) caused by susceptible bacteria, including MRSA.</w:t>
      </w:r>
    </w:p>
    <w:p w:rsidR="00766340" w:rsidRPr="000F7D05" w:rsidRDefault="00766340" w:rsidP="00766340">
      <w:pPr>
        <w:numPr>
          <w:ilvl w:val="1"/>
          <w:numId w:val="12"/>
        </w:numPr>
        <w:rPr>
          <w:rFonts w:ascii="Cambria" w:hAnsi="Cambria"/>
          <w:i w:val="0"/>
          <w:sz w:val="24"/>
        </w:rPr>
      </w:pPr>
      <w:r w:rsidRPr="000F7D05">
        <w:rPr>
          <w:rFonts w:ascii="Cambria" w:hAnsi="Cambria"/>
          <w:i w:val="0"/>
          <w:iCs/>
          <w:sz w:val="24"/>
        </w:rPr>
        <w:t>Nocardia</w:t>
      </w:r>
      <w:r w:rsidRPr="000F7D05">
        <w:rPr>
          <w:rFonts w:ascii="Cambria" w:hAnsi="Cambria"/>
          <w:i w:val="0"/>
          <w:sz w:val="24"/>
        </w:rPr>
        <w:t xml:space="preserve"> infections.</w:t>
      </w:r>
    </w:p>
    <w:p w:rsidR="00766340" w:rsidRPr="000F7D05" w:rsidRDefault="00766340" w:rsidP="00766340">
      <w:pPr>
        <w:numPr>
          <w:ilvl w:val="0"/>
          <w:numId w:val="12"/>
        </w:numPr>
        <w:rPr>
          <w:rFonts w:ascii="Cambria" w:hAnsi="Cambria"/>
          <w:i w:val="0"/>
          <w:sz w:val="24"/>
        </w:rPr>
      </w:pPr>
      <w:r w:rsidRPr="000F7D05">
        <w:rPr>
          <w:rFonts w:ascii="Cambria" w:hAnsi="Cambria"/>
          <w:b/>
          <w:bCs/>
          <w:i w:val="0"/>
          <w:sz w:val="24"/>
        </w:rPr>
        <w:t>Side Effects:</w:t>
      </w:r>
    </w:p>
    <w:p w:rsidR="00766340" w:rsidRPr="000F7D05" w:rsidRDefault="00766340" w:rsidP="00766340">
      <w:pPr>
        <w:numPr>
          <w:ilvl w:val="1"/>
          <w:numId w:val="12"/>
        </w:numPr>
        <w:rPr>
          <w:rFonts w:ascii="Cambria" w:hAnsi="Cambria"/>
          <w:i w:val="0"/>
          <w:sz w:val="24"/>
        </w:rPr>
      </w:pPr>
      <w:r w:rsidRPr="000F7D05">
        <w:rPr>
          <w:rFonts w:ascii="Cambria" w:hAnsi="Cambria"/>
          <w:b/>
          <w:bCs/>
          <w:i w:val="0"/>
          <w:sz w:val="24"/>
        </w:rPr>
        <w:t>Hematologic Toxicity:</w:t>
      </w:r>
      <w:r w:rsidRPr="000F7D05">
        <w:rPr>
          <w:rFonts w:ascii="Cambria" w:hAnsi="Cambria"/>
          <w:i w:val="0"/>
          <w:sz w:val="24"/>
        </w:rPr>
        <w:t xml:space="preserve"> Thrombocytopenia, neutropenia, and anemia, especially in patients with compromised bone marrow.</w:t>
      </w:r>
    </w:p>
    <w:p w:rsidR="00766340" w:rsidRPr="000F7D05" w:rsidRDefault="00766340" w:rsidP="00766340">
      <w:pPr>
        <w:numPr>
          <w:ilvl w:val="1"/>
          <w:numId w:val="12"/>
        </w:numPr>
        <w:rPr>
          <w:rFonts w:ascii="Cambria" w:hAnsi="Cambria"/>
          <w:i w:val="0"/>
          <w:sz w:val="24"/>
        </w:rPr>
      </w:pPr>
      <w:r w:rsidRPr="000F7D05">
        <w:rPr>
          <w:rFonts w:ascii="Cambria" w:hAnsi="Cambria"/>
          <w:b/>
          <w:bCs/>
          <w:i w:val="0"/>
          <w:sz w:val="24"/>
        </w:rPr>
        <w:t>Central Nervous System Side Effects:</w:t>
      </w:r>
      <w:r w:rsidRPr="000F7D05">
        <w:rPr>
          <w:rFonts w:ascii="Cambria" w:hAnsi="Cambria"/>
          <w:i w:val="0"/>
          <w:sz w:val="24"/>
        </w:rPr>
        <w:t xml:space="preserve"> Optic neuropathy, peripheral neuropathy, and lactic acidosis, primarily with prolonged use.</w:t>
      </w:r>
    </w:p>
    <w:p w:rsidR="00766340" w:rsidRPr="000F7D05" w:rsidRDefault="00766340" w:rsidP="00FB207E">
      <w:pPr>
        <w:pStyle w:val="Heading3"/>
        <w:rPr>
          <w:i/>
          <w:sz w:val="24"/>
        </w:rPr>
      </w:pPr>
      <w:r w:rsidRPr="000F7D05">
        <w:t>Tedizolid</w:t>
      </w:r>
    </w:p>
    <w:p w:rsidR="00766340" w:rsidRPr="000F7D05" w:rsidRDefault="00766340" w:rsidP="00766340">
      <w:pPr>
        <w:ind w:left="0" w:firstLine="0"/>
        <w:rPr>
          <w:rFonts w:ascii="Cambria" w:hAnsi="Cambria"/>
          <w:i w:val="0"/>
          <w:sz w:val="24"/>
        </w:rPr>
      </w:pPr>
      <w:r w:rsidRPr="000F7D05">
        <w:rPr>
          <w:rFonts w:ascii="Cambria" w:hAnsi="Cambria"/>
          <w:i w:val="0"/>
          <w:sz w:val="24"/>
        </w:rPr>
        <w:t>A "next-generation oxazolidinone" with potential advantages over linezolid.</w:t>
      </w:r>
    </w:p>
    <w:p w:rsidR="00766340" w:rsidRPr="000F7D05" w:rsidRDefault="00766340" w:rsidP="00766340">
      <w:pPr>
        <w:numPr>
          <w:ilvl w:val="0"/>
          <w:numId w:val="13"/>
        </w:numPr>
        <w:rPr>
          <w:rFonts w:ascii="Cambria" w:hAnsi="Cambria"/>
          <w:i w:val="0"/>
          <w:sz w:val="24"/>
        </w:rPr>
      </w:pPr>
      <w:r w:rsidRPr="000F7D05">
        <w:rPr>
          <w:rFonts w:ascii="Cambria" w:hAnsi="Cambria"/>
          <w:b/>
          <w:bCs/>
          <w:i w:val="0"/>
          <w:sz w:val="24"/>
        </w:rPr>
        <w:t>Potency:</w:t>
      </w:r>
      <w:r w:rsidRPr="000F7D05">
        <w:rPr>
          <w:rFonts w:ascii="Cambria" w:hAnsi="Cambria"/>
          <w:i w:val="0"/>
          <w:sz w:val="24"/>
        </w:rPr>
        <w:t xml:space="preserve"> Higher potency against MRSA and other Gram-positive bacteria.</w:t>
      </w:r>
    </w:p>
    <w:p w:rsidR="00766340" w:rsidRPr="000F7D05" w:rsidRDefault="00766340" w:rsidP="00766340">
      <w:pPr>
        <w:numPr>
          <w:ilvl w:val="0"/>
          <w:numId w:val="13"/>
        </w:numPr>
        <w:rPr>
          <w:rFonts w:ascii="Cambria" w:hAnsi="Cambria"/>
          <w:i w:val="0"/>
          <w:sz w:val="24"/>
        </w:rPr>
      </w:pPr>
      <w:r w:rsidRPr="000F7D05">
        <w:rPr>
          <w:rFonts w:ascii="Cambria" w:hAnsi="Cambria"/>
          <w:b/>
          <w:bCs/>
          <w:i w:val="0"/>
          <w:sz w:val="24"/>
        </w:rPr>
        <w:t>Safety Profile:</w:t>
      </w:r>
      <w:r w:rsidRPr="000F7D05">
        <w:rPr>
          <w:rFonts w:ascii="Cambria" w:hAnsi="Cambria"/>
          <w:i w:val="0"/>
          <w:sz w:val="24"/>
        </w:rPr>
        <w:t xml:space="preserve"> Potentially "minimizes the risk of marrow suppression compared to linezolid."</w:t>
      </w:r>
    </w:p>
    <w:p w:rsidR="00766340" w:rsidRPr="000F7D05" w:rsidRDefault="00766340" w:rsidP="00766340">
      <w:pPr>
        <w:numPr>
          <w:ilvl w:val="0"/>
          <w:numId w:val="13"/>
        </w:numPr>
        <w:rPr>
          <w:rFonts w:ascii="Cambria" w:hAnsi="Cambria"/>
          <w:i w:val="0"/>
          <w:sz w:val="24"/>
        </w:rPr>
      </w:pPr>
      <w:r w:rsidRPr="000F7D05">
        <w:rPr>
          <w:rFonts w:ascii="Cambria" w:hAnsi="Cambria"/>
          <w:b/>
          <w:bCs/>
          <w:i w:val="0"/>
          <w:sz w:val="24"/>
        </w:rPr>
        <w:t>Pharmacokinetics:</w:t>
      </w:r>
      <w:r w:rsidRPr="000F7D05">
        <w:rPr>
          <w:rFonts w:ascii="Cambria" w:hAnsi="Cambria"/>
          <w:i w:val="0"/>
          <w:sz w:val="24"/>
        </w:rPr>
        <w:t xml:space="preserve"> Longer half-life (12 hours) and higher protein binding (70-90%).</w:t>
      </w:r>
    </w:p>
    <w:p w:rsidR="00766340" w:rsidRPr="000F7D05" w:rsidRDefault="00766340" w:rsidP="00FB207E">
      <w:pPr>
        <w:pStyle w:val="Heading2"/>
        <w:rPr>
          <w:i/>
        </w:rPr>
      </w:pPr>
      <w:bookmarkStart w:id="5" w:name="_Toc204702938"/>
      <w:r w:rsidRPr="000F7D05">
        <w:t>Lincosamines</w:t>
      </w:r>
      <w:bookmarkEnd w:id="5"/>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Lincosamines, including Lincomycin and Clindamycin, inhibit bacterial protein synthesis by "binding to a specific site on the </w:t>
      </w:r>
      <w:r w:rsidRPr="000F7D05">
        <w:rPr>
          <w:rFonts w:ascii="Cambria" w:hAnsi="Cambria"/>
          <w:b/>
          <w:i w:val="0"/>
          <w:sz w:val="24"/>
        </w:rPr>
        <w:t>50S ribosomal subunit</w:t>
      </w:r>
      <w:r w:rsidRPr="000F7D05">
        <w:rPr>
          <w:rFonts w:ascii="Cambria" w:hAnsi="Cambria"/>
          <w:i w:val="0"/>
          <w:sz w:val="24"/>
        </w:rPr>
        <w:t>, preventing the formation of peptide bonds." Their receptor on the 50S subunit is 23S rRNA.</w:t>
      </w:r>
    </w:p>
    <w:p w:rsidR="00766340" w:rsidRPr="000F7D05" w:rsidRDefault="00766340" w:rsidP="00FB207E">
      <w:pPr>
        <w:pStyle w:val="Heading3"/>
        <w:rPr>
          <w:i/>
        </w:rPr>
      </w:pPr>
      <w:r w:rsidRPr="000F7D05">
        <w:t>Pharmacokinetics (ADME)</w:t>
      </w:r>
    </w:p>
    <w:p w:rsidR="00766340" w:rsidRPr="000F7D05" w:rsidRDefault="00766340" w:rsidP="00766340">
      <w:pPr>
        <w:numPr>
          <w:ilvl w:val="0"/>
          <w:numId w:val="14"/>
        </w:numPr>
        <w:rPr>
          <w:rFonts w:ascii="Cambria" w:hAnsi="Cambria"/>
          <w:i w:val="0"/>
          <w:sz w:val="24"/>
        </w:rPr>
      </w:pPr>
      <w:r w:rsidRPr="000F7D05">
        <w:rPr>
          <w:rFonts w:ascii="Cambria" w:hAnsi="Cambria"/>
          <w:i w:val="0"/>
          <w:sz w:val="24"/>
        </w:rPr>
        <w:t>Penetrates well into most tissues, abscesses, and is concentrated by phagocytic cells.</w:t>
      </w:r>
    </w:p>
    <w:p w:rsidR="00766340" w:rsidRPr="000F7D05" w:rsidRDefault="00766340" w:rsidP="00766340">
      <w:pPr>
        <w:numPr>
          <w:ilvl w:val="0"/>
          <w:numId w:val="14"/>
        </w:numPr>
        <w:rPr>
          <w:rFonts w:ascii="Cambria" w:hAnsi="Cambria"/>
          <w:i w:val="0"/>
          <w:sz w:val="24"/>
        </w:rPr>
      </w:pPr>
      <w:r w:rsidRPr="000F7D05">
        <w:rPr>
          <w:rFonts w:ascii="Cambria" w:hAnsi="Cambria"/>
          <w:i w:val="0"/>
          <w:sz w:val="24"/>
        </w:rPr>
        <w:t>Clindamycin is metabolized by the liver, both active drug and metabolites excreted in bile and urine.</w:t>
      </w:r>
    </w:p>
    <w:p w:rsidR="00766340" w:rsidRPr="000F7D05" w:rsidRDefault="00766340" w:rsidP="00766340">
      <w:pPr>
        <w:numPr>
          <w:ilvl w:val="0"/>
          <w:numId w:val="14"/>
        </w:numPr>
        <w:rPr>
          <w:rFonts w:ascii="Cambria" w:hAnsi="Cambria"/>
          <w:i w:val="0"/>
          <w:sz w:val="24"/>
        </w:rPr>
      </w:pPr>
      <w:r w:rsidRPr="000F7D05">
        <w:rPr>
          <w:rFonts w:ascii="Cambria" w:hAnsi="Cambria"/>
          <w:i w:val="0"/>
          <w:sz w:val="24"/>
        </w:rPr>
        <w:t>"No dosage adjustment is required for renal failure."</w:t>
      </w:r>
    </w:p>
    <w:p w:rsidR="00766340" w:rsidRPr="000F7D05" w:rsidRDefault="00766340" w:rsidP="00FB207E">
      <w:pPr>
        <w:pStyle w:val="Heading3"/>
        <w:rPr>
          <w:i/>
        </w:rPr>
      </w:pPr>
      <w:r w:rsidRPr="000F7D05">
        <w:t>Spectrum of Activity</w:t>
      </w:r>
    </w:p>
    <w:p w:rsidR="00766340" w:rsidRPr="000F7D05" w:rsidRDefault="00766340" w:rsidP="00766340">
      <w:pPr>
        <w:ind w:left="0" w:firstLine="0"/>
        <w:rPr>
          <w:rFonts w:ascii="Cambria" w:hAnsi="Cambria"/>
          <w:i w:val="0"/>
          <w:sz w:val="24"/>
        </w:rPr>
      </w:pPr>
      <w:r w:rsidRPr="000F7D05">
        <w:rPr>
          <w:rFonts w:ascii="Cambria" w:hAnsi="Cambria"/>
          <w:i w:val="0"/>
          <w:sz w:val="24"/>
        </w:rPr>
        <w:t xml:space="preserve">Broad spectrum against Gram-positive, some Gram-negative organisms (anaerobic). </w:t>
      </w:r>
      <w:r w:rsidRPr="000F7D05">
        <w:rPr>
          <w:rFonts w:ascii="Cambria" w:hAnsi="Cambria"/>
          <w:b/>
          <w:i w:val="0"/>
          <w:iCs/>
          <w:sz w:val="24"/>
        </w:rPr>
        <w:t>H. influenzae</w:t>
      </w:r>
      <w:r w:rsidRPr="000F7D05">
        <w:rPr>
          <w:rFonts w:ascii="Cambria" w:hAnsi="Cambria"/>
          <w:b/>
          <w:i w:val="0"/>
          <w:sz w:val="24"/>
        </w:rPr>
        <w:t xml:space="preserve">, </w:t>
      </w:r>
      <w:r w:rsidRPr="000F7D05">
        <w:rPr>
          <w:rFonts w:ascii="Cambria" w:hAnsi="Cambria"/>
          <w:b/>
          <w:i w:val="0"/>
          <w:iCs/>
          <w:sz w:val="24"/>
        </w:rPr>
        <w:t>Neisseriae</w:t>
      </w:r>
      <w:r w:rsidRPr="000F7D05">
        <w:rPr>
          <w:rFonts w:ascii="Cambria" w:hAnsi="Cambria"/>
          <w:b/>
          <w:i w:val="0"/>
          <w:sz w:val="24"/>
        </w:rPr>
        <w:t xml:space="preserve">, and </w:t>
      </w:r>
      <w:r w:rsidRPr="000F7D05">
        <w:rPr>
          <w:rFonts w:ascii="Cambria" w:hAnsi="Cambria"/>
          <w:b/>
          <w:i w:val="0"/>
          <w:iCs/>
          <w:sz w:val="24"/>
        </w:rPr>
        <w:t>Mycoplasma</w:t>
      </w:r>
      <w:r w:rsidRPr="000F7D05">
        <w:rPr>
          <w:rFonts w:ascii="Cambria" w:hAnsi="Cambria"/>
          <w:b/>
          <w:i w:val="0"/>
          <w:sz w:val="24"/>
        </w:rPr>
        <w:t xml:space="preserve"> are usually resistant</w:t>
      </w:r>
      <w:r w:rsidRPr="000F7D05">
        <w:rPr>
          <w:rFonts w:ascii="Cambria" w:hAnsi="Cambria"/>
          <w:i w:val="0"/>
          <w:sz w:val="24"/>
        </w:rPr>
        <w:t xml:space="preserve">. </w:t>
      </w:r>
      <w:r w:rsidRPr="000F7D05">
        <w:rPr>
          <w:rFonts w:ascii="Cambria" w:hAnsi="Cambria"/>
          <w:i w:val="0"/>
          <w:sz w:val="24"/>
          <w:u w:val="single"/>
        </w:rPr>
        <w:t>Gram-negative aerobic species are intrinsically resistant</w:t>
      </w:r>
      <w:r w:rsidRPr="000F7D05">
        <w:rPr>
          <w:rFonts w:ascii="Cambria" w:hAnsi="Cambria"/>
          <w:i w:val="0"/>
          <w:sz w:val="24"/>
        </w:rPr>
        <w:t xml:space="preserve"> due to poor outer membrane permeability.</w:t>
      </w:r>
    </w:p>
    <w:p w:rsidR="00766340" w:rsidRPr="000F7D05" w:rsidRDefault="00766340" w:rsidP="00FB207E">
      <w:pPr>
        <w:pStyle w:val="Heading3"/>
        <w:rPr>
          <w:i/>
        </w:rPr>
      </w:pPr>
      <w:r w:rsidRPr="000F7D05">
        <w:t>Clinical Uses</w:t>
      </w:r>
      <w:bookmarkStart w:id="6" w:name="_GoBack"/>
      <w:bookmarkEnd w:id="6"/>
    </w:p>
    <w:p w:rsidR="00766340" w:rsidRPr="000F7D05" w:rsidRDefault="00766340" w:rsidP="00766340">
      <w:pPr>
        <w:numPr>
          <w:ilvl w:val="0"/>
          <w:numId w:val="15"/>
        </w:numPr>
        <w:rPr>
          <w:rFonts w:ascii="Cambria" w:hAnsi="Cambria"/>
          <w:i w:val="0"/>
          <w:sz w:val="24"/>
        </w:rPr>
      </w:pPr>
      <w:r w:rsidRPr="000F7D05">
        <w:rPr>
          <w:rFonts w:ascii="Cambria" w:hAnsi="Cambria"/>
          <w:i w:val="0"/>
          <w:sz w:val="24"/>
        </w:rPr>
        <w:t>Infections originating in the female genital tract (e.g., septic abortion, pelvic abscesses).</w:t>
      </w:r>
    </w:p>
    <w:p w:rsidR="00766340" w:rsidRPr="000F7D05" w:rsidRDefault="00766340" w:rsidP="00766340">
      <w:pPr>
        <w:numPr>
          <w:ilvl w:val="0"/>
          <w:numId w:val="15"/>
        </w:numPr>
        <w:rPr>
          <w:rFonts w:ascii="Cambria" w:hAnsi="Cambria"/>
          <w:i w:val="0"/>
          <w:sz w:val="24"/>
        </w:rPr>
      </w:pPr>
      <w:r w:rsidRPr="000F7D05">
        <w:rPr>
          <w:rFonts w:ascii="Cambria" w:hAnsi="Cambria"/>
          <w:i w:val="0"/>
          <w:sz w:val="24"/>
        </w:rPr>
        <w:t>Aspiration pneumonia.</w:t>
      </w:r>
    </w:p>
    <w:p w:rsidR="00766340" w:rsidRPr="000F7D05" w:rsidRDefault="00766340" w:rsidP="00766340">
      <w:pPr>
        <w:numPr>
          <w:ilvl w:val="0"/>
          <w:numId w:val="15"/>
        </w:numPr>
        <w:rPr>
          <w:rFonts w:ascii="Cambria" w:hAnsi="Cambria"/>
          <w:i w:val="0"/>
          <w:sz w:val="24"/>
        </w:rPr>
      </w:pPr>
      <w:r w:rsidRPr="000F7D05">
        <w:rPr>
          <w:rFonts w:ascii="Cambria" w:hAnsi="Cambria"/>
          <w:i w:val="0"/>
          <w:sz w:val="24"/>
        </w:rPr>
        <w:t>Prophylaxis of endocarditis in patients with valvular heart disease undergoing dental procedures (recommended over erythromycin).</w:t>
      </w:r>
    </w:p>
    <w:p w:rsidR="00766340" w:rsidRPr="000F7D05" w:rsidRDefault="00766340" w:rsidP="00766340">
      <w:pPr>
        <w:numPr>
          <w:ilvl w:val="0"/>
          <w:numId w:val="15"/>
        </w:numPr>
        <w:rPr>
          <w:rFonts w:ascii="Cambria" w:hAnsi="Cambria"/>
          <w:i w:val="0"/>
          <w:sz w:val="24"/>
        </w:rPr>
      </w:pPr>
      <w:r w:rsidRPr="000F7D05">
        <w:rPr>
          <w:rFonts w:ascii="Cambria" w:hAnsi="Cambria"/>
          <w:i w:val="0"/>
          <w:sz w:val="24"/>
        </w:rPr>
        <w:t>Staph. Conjunctivitis (eye drops).</w:t>
      </w:r>
    </w:p>
    <w:p w:rsidR="00766340" w:rsidRPr="000F7D05" w:rsidRDefault="00766340" w:rsidP="00766340">
      <w:pPr>
        <w:numPr>
          <w:ilvl w:val="0"/>
          <w:numId w:val="15"/>
        </w:numPr>
        <w:rPr>
          <w:rFonts w:ascii="Cambria" w:hAnsi="Cambria"/>
          <w:i w:val="0"/>
          <w:sz w:val="24"/>
        </w:rPr>
      </w:pPr>
      <w:r w:rsidRPr="000F7D05">
        <w:rPr>
          <w:rFonts w:ascii="Cambria" w:hAnsi="Cambria"/>
          <w:i w:val="0"/>
          <w:sz w:val="24"/>
        </w:rPr>
        <w:t>Diabetic foot infections.</w:t>
      </w:r>
    </w:p>
    <w:p w:rsidR="00766340" w:rsidRPr="000F7D05" w:rsidRDefault="00766340" w:rsidP="00766340">
      <w:pPr>
        <w:numPr>
          <w:ilvl w:val="0"/>
          <w:numId w:val="15"/>
        </w:numPr>
        <w:rPr>
          <w:rFonts w:ascii="Cambria" w:hAnsi="Cambria"/>
          <w:i w:val="0"/>
          <w:sz w:val="24"/>
        </w:rPr>
      </w:pPr>
      <w:r w:rsidRPr="000F7D05">
        <w:rPr>
          <w:rFonts w:ascii="Cambria" w:hAnsi="Cambria"/>
          <w:i w:val="0"/>
          <w:sz w:val="24"/>
        </w:rPr>
        <w:t>Acne (1% topical gel &amp; lotion).</w:t>
      </w:r>
    </w:p>
    <w:p w:rsidR="00766340" w:rsidRPr="000F7D05" w:rsidRDefault="00766340" w:rsidP="00FB207E">
      <w:pPr>
        <w:pStyle w:val="Heading3"/>
        <w:rPr>
          <w:i/>
        </w:rPr>
      </w:pPr>
      <w:r w:rsidRPr="000F7D05">
        <w:t>Adverse Effects</w:t>
      </w:r>
    </w:p>
    <w:p w:rsidR="00766340" w:rsidRPr="000F7D05" w:rsidRDefault="00766340" w:rsidP="00766340">
      <w:pPr>
        <w:numPr>
          <w:ilvl w:val="0"/>
          <w:numId w:val="16"/>
        </w:numPr>
        <w:rPr>
          <w:rFonts w:ascii="Cambria" w:hAnsi="Cambria"/>
          <w:i w:val="0"/>
          <w:sz w:val="24"/>
        </w:rPr>
      </w:pPr>
      <w:r w:rsidRPr="000F7D05">
        <w:rPr>
          <w:rFonts w:ascii="Cambria" w:hAnsi="Cambria"/>
          <w:b/>
          <w:bCs/>
          <w:i w:val="0"/>
          <w:sz w:val="24"/>
        </w:rPr>
        <w:t>Hepatic toxicity:</w:t>
      </w:r>
      <w:r w:rsidRPr="000F7D05">
        <w:rPr>
          <w:rFonts w:ascii="Cambria" w:hAnsi="Cambria"/>
          <w:i w:val="0"/>
          <w:sz w:val="24"/>
        </w:rPr>
        <w:t xml:space="preserve"> Rare, but possible with prolonged use.</w:t>
      </w:r>
    </w:p>
    <w:p w:rsidR="00766340" w:rsidRPr="000F7D05" w:rsidRDefault="00766340" w:rsidP="00766340">
      <w:pPr>
        <w:numPr>
          <w:ilvl w:val="0"/>
          <w:numId w:val="16"/>
        </w:numPr>
        <w:rPr>
          <w:rFonts w:ascii="Cambria" w:hAnsi="Cambria"/>
          <w:i w:val="0"/>
          <w:sz w:val="24"/>
        </w:rPr>
      </w:pPr>
      <w:r w:rsidRPr="000F7D05">
        <w:rPr>
          <w:rFonts w:ascii="Cambria" w:hAnsi="Cambria"/>
          <w:b/>
          <w:bCs/>
          <w:i w:val="0"/>
          <w:sz w:val="24"/>
        </w:rPr>
        <w:t>Neutropenia:</w:t>
      </w:r>
      <w:r w:rsidRPr="000F7D05">
        <w:rPr>
          <w:rFonts w:ascii="Cambria" w:hAnsi="Cambria"/>
          <w:i w:val="0"/>
          <w:sz w:val="24"/>
        </w:rPr>
        <w:t xml:space="preserve"> Lower-than-normal white blood cell count.</w:t>
      </w:r>
    </w:p>
    <w:p w:rsidR="00766340" w:rsidRPr="000F7D05" w:rsidRDefault="00766340" w:rsidP="00766340">
      <w:pPr>
        <w:numPr>
          <w:ilvl w:val="0"/>
          <w:numId w:val="16"/>
        </w:numPr>
        <w:rPr>
          <w:rFonts w:ascii="Cambria" w:hAnsi="Cambria"/>
          <w:i w:val="0"/>
          <w:sz w:val="24"/>
        </w:rPr>
      </w:pPr>
      <w:r w:rsidRPr="000F7D05">
        <w:rPr>
          <w:rFonts w:ascii="Cambria" w:hAnsi="Cambria"/>
          <w:b/>
          <w:bCs/>
          <w:i w:val="0"/>
          <w:sz w:val="24"/>
        </w:rPr>
        <w:t>Antibiotic-Associated Colitis (AAC) / Diarrhea (0.1-10%):</w:t>
      </w:r>
      <w:r w:rsidRPr="000F7D05">
        <w:rPr>
          <w:rFonts w:ascii="Cambria" w:hAnsi="Cambria"/>
          <w:i w:val="0"/>
          <w:sz w:val="24"/>
        </w:rPr>
        <w:t xml:space="preserve"> The "most serious concerning one and often requires discontinuation of therapy." This occurs when antibiotics disrupt beneficial gut bacteria, allowing opportunistic pathogens, particularly </w:t>
      </w:r>
      <w:r w:rsidRPr="000F7D05">
        <w:rPr>
          <w:rFonts w:ascii="Cambria" w:hAnsi="Cambria"/>
          <w:i w:val="0"/>
          <w:iCs/>
          <w:sz w:val="24"/>
        </w:rPr>
        <w:t>Clostridium difficile</w:t>
      </w:r>
      <w:r w:rsidRPr="000F7D05">
        <w:rPr>
          <w:rFonts w:ascii="Cambria" w:hAnsi="Cambria"/>
          <w:i w:val="0"/>
          <w:sz w:val="24"/>
        </w:rPr>
        <w:t xml:space="preserve"> (</w:t>
      </w:r>
      <w:r w:rsidRPr="000F7D05">
        <w:rPr>
          <w:rFonts w:ascii="Cambria" w:hAnsi="Cambria"/>
          <w:i w:val="0"/>
          <w:iCs/>
          <w:sz w:val="24"/>
        </w:rPr>
        <w:t>C. diff</w:t>
      </w:r>
      <w:r w:rsidRPr="000F7D05">
        <w:rPr>
          <w:rFonts w:ascii="Cambria" w:hAnsi="Cambria"/>
          <w:i w:val="0"/>
          <w:sz w:val="24"/>
        </w:rPr>
        <w:t xml:space="preserve">), to flourish. </w:t>
      </w:r>
      <w:r w:rsidRPr="000F7D05">
        <w:rPr>
          <w:rFonts w:ascii="Cambria" w:hAnsi="Cambria"/>
          <w:i w:val="0"/>
          <w:iCs/>
          <w:sz w:val="24"/>
        </w:rPr>
        <w:t>C. diff</w:t>
      </w:r>
      <w:r w:rsidRPr="000F7D05">
        <w:rPr>
          <w:rFonts w:ascii="Cambria" w:hAnsi="Cambria"/>
          <w:i w:val="0"/>
          <w:sz w:val="24"/>
        </w:rPr>
        <w:t xml:space="preserve"> produces necrotizing toxins that damage sigmoid colon cells, leading to inflammation and </w:t>
      </w:r>
      <w:r w:rsidRPr="000F7D05">
        <w:rPr>
          <w:rFonts w:ascii="Cambria" w:hAnsi="Cambria"/>
          <w:b/>
          <w:i w:val="0"/>
          <w:sz w:val="24"/>
        </w:rPr>
        <w:t>pseudomembranous</w:t>
      </w:r>
      <w:r w:rsidRPr="000F7D05">
        <w:rPr>
          <w:rFonts w:ascii="Cambria" w:hAnsi="Cambria"/>
          <w:i w:val="0"/>
          <w:sz w:val="24"/>
        </w:rPr>
        <w:t xml:space="preserve"> (thick, inflamed membrane) </w:t>
      </w:r>
      <w:r w:rsidRPr="000F7D05">
        <w:rPr>
          <w:rFonts w:ascii="Cambria" w:hAnsi="Cambria"/>
          <w:b/>
          <w:i w:val="0"/>
          <w:sz w:val="24"/>
        </w:rPr>
        <w:t>colitis</w:t>
      </w:r>
      <w:r w:rsidRPr="000F7D05">
        <w:rPr>
          <w:rFonts w:ascii="Cambria" w:hAnsi="Cambria"/>
          <w:i w:val="0"/>
          <w:sz w:val="24"/>
        </w:rPr>
        <w:t xml:space="preserve"> (PMC). Penicillin is also known to increase the risk of </w:t>
      </w:r>
      <w:r w:rsidRPr="000F7D05">
        <w:rPr>
          <w:rFonts w:ascii="Cambria" w:hAnsi="Cambria"/>
          <w:i w:val="0"/>
          <w:iCs/>
          <w:sz w:val="24"/>
        </w:rPr>
        <w:t>C. diff</w:t>
      </w:r>
      <w:r w:rsidRPr="000F7D05">
        <w:rPr>
          <w:rFonts w:ascii="Cambria" w:hAnsi="Cambria"/>
          <w:i w:val="0"/>
          <w:sz w:val="24"/>
        </w:rPr>
        <w:t xml:space="preserve"> infection.</w:t>
      </w:r>
    </w:p>
    <w:p w:rsidR="000D55A9" w:rsidRPr="000F7D05" w:rsidRDefault="000D55A9" w:rsidP="00766340">
      <w:pPr>
        <w:ind w:left="0" w:firstLine="0"/>
        <w:rPr>
          <w:rFonts w:ascii="Cambria" w:hAnsi="Cambria"/>
          <w:i w:val="0"/>
        </w:rPr>
      </w:pPr>
    </w:p>
    <w:sectPr w:rsidR="000D55A9" w:rsidRPr="000F7D05" w:rsidSect="007663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425AE"/>
    <w:multiLevelType w:val="multilevel"/>
    <w:tmpl w:val="59A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34C16"/>
    <w:multiLevelType w:val="multilevel"/>
    <w:tmpl w:val="4EC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7629E"/>
    <w:multiLevelType w:val="multilevel"/>
    <w:tmpl w:val="0E9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30AB5"/>
    <w:multiLevelType w:val="multilevel"/>
    <w:tmpl w:val="0C7E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1C5D"/>
    <w:multiLevelType w:val="multilevel"/>
    <w:tmpl w:val="8FC0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32DD9"/>
    <w:multiLevelType w:val="multilevel"/>
    <w:tmpl w:val="4114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A3BCC"/>
    <w:multiLevelType w:val="multilevel"/>
    <w:tmpl w:val="6A2A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C00F8"/>
    <w:multiLevelType w:val="multilevel"/>
    <w:tmpl w:val="ACB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1380A"/>
    <w:multiLevelType w:val="multilevel"/>
    <w:tmpl w:val="483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0642D"/>
    <w:multiLevelType w:val="multilevel"/>
    <w:tmpl w:val="CA1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93AA8"/>
    <w:multiLevelType w:val="multilevel"/>
    <w:tmpl w:val="FFE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A404B"/>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A0635"/>
    <w:multiLevelType w:val="multilevel"/>
    <w:tmpl w:val="BEC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03126"/>
    <w:multiLevelType w:val="multilevel"/>
    <w:tmpl w:val="592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C6981"/>
    <w:multiLevelType w:val="hybridMultilevel"/>
    <w:tmpl w:val="81C60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0D7CC7"/>
    <w:multiLevelType w:val="multilevel"/>
    <w:tmpl w:val="44D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4606A"/>
    <w:multiLevelType w:val="multilevel"/>
    <w:tmpl w:val="1BD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57FF7"/>
    <w:multiLevelType w:val="multilevel"/>
    <w:tmpl w:val="13F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2"/>
  </w:num>
  <w:num w:numId="4">
    <w:abstractNumId w:val="0"/>
  </w:num>
  <w:num w:numId="5">
    <w:abstractNumId w:val="16"/>
  </w:num>
  <w:num w:numId="6">
    <w:abstractNumId w:val="4"/>
  </w:num>
  <w:num w:numId="7">
    <w:abstractNumId w:val="15"/>
  </w:num>
  <w:num w:numId="8">
    <w:abstractNumId w:val="10"/>
  </w:num>
  <w:num w:numId="9">
    <w:abstractNumId w:val="1"/>
  </w:num>
  <w:num w:numId="10">
    <w:abstractNumId w:val="9"/>
  </w:num>
  <w:num w:numId="11">
    <w:abstractNumId w:val="13"/>
  </w:num>
  <w:num w:numId="12">
    <w:abstractNumId w:val="3"/>
  </w:num>
  <w:num w:numId="13">
    <w:abstractNumId w:val="12"/>
  </w:num>
  <w:num w:numId="14">
    <w:abstractNumId w:val="7"/>
  </w:num>
  <w:num w:numId="15">
    <w:abstractNumId w:val="8"/>
  </w:num>
  <w:num w:numId="16">
    <w:abstractNumId w:val="6"/>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340"/>
    <w:rsid w:val="0008564A"/>
    <w:rsid w:val="000D55A9"/>
    <w:rsid w:val="000F7D05"/>
    <w:rsid w:val="00503184"/>
    <w:rsid w:val="00680515"/>
    <w:rsid w:val="00766340"/>
    <w:rsid w:val="00AA7980"/>
    <w:rsid w:val="00BA6C0C"/>
    <w:rsid w:val="00C733F9"/>
    <w:rsid w:val="00CD4518"/>
    <w:rsid w:val="00DA27B3"/>
    <w:rsid w:val="00FB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05A4"/>
  <w15:chartTrackingRefBased/>
  <w15:docId w15:val="{B4FEDE19-FB7C-4EBF-81B3-754912B8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7B3"/>
    <w:pPr>
      <w:spacing w:after="120"/>
    </w:pPr>
    <w:rPr>
      <w:rFonts w:ascii="Source Sans Pro" w:hAnsi="Source Sans Pro"/>
      <w:i/>
    </w:rPr>
  </w:style>
  <w:style w:type="paragraph" w:styleId="Heading1">
    <w:name w:val="heading 1"/>
    <w:basedOn w:val="Normal"/>
    <w:next w:val="Normal"/>
    <w:link w:val="Heading1Char"/>
    <w:uiPriority w:val="9"/>
    <w:qFormat/>
    <w:rsid w:val="00FB207E"/>
    <w:pPr>
      <w:keepNext/>
      <w:keepLines/>
      <w:spacing w:before="120"/>
      <w:outlineLvl w:val="0"/>
    </w:pPr>
    <w:rPr>
      <w:rFonts w:ascii="Cambria" w:eastAsiaTheme="majorEastAsia" w:hAnsi="Cambria" w:cstheme="majorBidi"/>
      <w:b/>
      <w:i w:val="0"/>
      <w:sz w:val="36"/>
      <w:szCs w:val="32"/>
    </w:rPr>
  </w:style>
  <w:style w:type="paragraph" w:styleId="Heading2">
    <w:name w:val="heading 2"/>
    <w:basedOn w:val="Normal"/>
    <w:next w:val="Normal"/>
    <w:link w:val="Heading2Char"/>
    <w:uiPriority w:val="9"/>
    <w:unhideWhenUsed/>
    <w:qFormat/>
    <w:rsid w:val="00FB207E"/>
    <w:pPr>
      <w:keepNext/>
      <w:keepLines/>
      <w:spacing w:before="120" w:line="240" w:lineRule="auto"/>
      <w:ind w:left="0" w:firstLine="0"/>
      <w:outlineLvl w:val="1"/>
    </w:pPr>
    <w:rPr>
      <w:rFonts w:ascii="Cambria" w:eastAsiaTheme="majorEastAsia" w:hAnsi="Cambria" w:cstheme="majorBidi"/>
      <w:b/>
      <w:i w:val="0"/>
      <w:sz w:val="32"/>
      <w:szCs w:val="26"/>
    </w:rPr>
  </w:style>
  <w:style w:type="paragraph" w:styleId="Heading3">
    <w:name w:val="heading 3"/>
    <w:basedOn w:val="Normal"/>
    <w:next w:val="Normal"/>
    <w:link w:val="Heading3Char"/>
    <w:uiPriority w:val="9"/>
    <w:unhideWhenUsed/>
    <w:qFormat/>
    <w:rsid w:val="00FB207E"/>
    <w:pPr>
      <w:keepNext/>
      <w:keepLines/>
      <w:spacing w:before="40" w:after="0" w:line="360" w:lineRule="auto"/>
      <w:outlineLvl w:val="2"/>
    </w:pPr>
    <w:rPr>
      <w:rFonts w:ascii="Cambria" w:eastAsiaTheme="majorEastAsia" w:hAnsi="Cambria" w:cstheme="majorBidi"/>
      <w:b/>
      <w:i w:val="0"/>
      <w:sz w:val="28"/>
      <w:szCs w:val="24"/>
    </w:rPr>
  </w:style>
  <w:style w:type="paragraph" w:styleId="Heading4">
    <w:name w:val="heading 4"/>
    <w:basedOn w:val="Normal"/>
    <w:next w:val="Normal"/>
    <w:link w:val="Heading4Char"/>
    <w:uiPriority w:val="9"/>
    <w:semiHidden/>
    <w:unhideWhenUsed/>
    <w:qFormat/>
    <w:rsid w:val="00FB207E"/>
    <w:pPr>
      <w:keepNext/>
      <w:keepLines/>
      <w:spacing w:before="40" w:after="0"/>
      <w:outlineLvl w:val="3"/>
    </w:pPr>
    <w:rPr>
      <w:rFonts w:ascii="Cambria" w:eastAsiaTheme="majorEastAsia" w:hAnsi="Cambria" w:cstheme="majorBidi"/>
      <w:b/>
      <w:i w:val="0"/>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207E"/>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FB207E"/>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FB207E"/>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semiHidden/>
    <w:rsid w:val="00FB207E"/>
    <w:rPr>
      <w:rFonts w:ascii="Cambria" w:eastAsiaTheme="majorEastAsia" w:hAnsi="Cambria" w:cstheme="majorBidi"/>
      <w:b/>
      <w:iCs/>
    </w:rPr>
  </w:style>
  <w:style w:type="paragraph" w:styleId="Title">
    <w:name w:val="Title"/>
    <w:basedOn w:val="Normal"/>
    <w:next w:val="Normal"/>
    <w:link w:val="TitleChar"/>
    <w:uiPriority w:val="10"/>
    <w:qFormat/>
    <w:rsid w:val="000F7D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D05"/>
    <w:rPr>
      <w:rFonts w:asciiTheme="majorHAnsi" w:eastAsiaTheme="majorEastAsia" w:hAnsiTheme="majorHAnsi" w:cstheme="majorBidi"/>
      <w: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1535</Words>
  <Characters>8756</Characters>
  <Application>Microsoft Office Word</Application>
  <DocSecurity>0</DocSecurity>
  <Lines>72</Lines>
  <Paragraphs>20</Paragraphs>
  <ScaleCrop>false</ScaleCrop>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cp:revision>
  <dcterms:created xsi:type="dcterms:W3CDTF">2026-06-13T05:53:00Z</dcterms:created>
  <dcterms:modified xsi:type="dcterms:W3CDTF">2026-09-15T11:52:00Z</dcterms:modified>
</cp:coreProperties>
</file>