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C58" w:rsidRDefault="00FB4C58" w:rsidP="00940EBE">
      <w:pPr>
        <w:ind w:left="0" w:firstLine="0"/>
      </w:pPr>
      <w:r>
        <w:rPr>
          <w:noProof/>
        </w:rPr>
        <w:drawing>
          <wp:anchor distT="0" distB="0" distL="114300" distR="114300" simplePos="0" relativeHeight="251658240" behindDoc="1" locked="0" layoutInCell="1" allowOverlap="1">
            <wp:simplePos x="0" y="0"/>
            <wp:positionH relativeFrom="margin">
              <wp:posOffset>-446315</wp:posOffset>
            </wp:positionH>
            <wp:positionV relativeFrom="margin">
              <wp:posOffset>-489857</wp:posOffset>
            </wp:positionV>
            <wp:extent cx="7565571" cy="10686181"/>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ck Mystery Novel Book Cover (1).png"/>
                    <pic:cNvPicPr/>
                  </pic:nvPicPr>
                  <pic:blipFill>
                    <a:blip r:embed="rId6">
                      <a:extLst>
                        <a:ext uri="{28A0092B-C50C-407E-A947-70E740481C1C}">
                          <a14:useLocalDpi xmlns:a14="http://schemas.microsoft.com/office/drawing/2010/main" val="0"/>
                        </a:ext>
                      </a:extLst>
                    </a:blip>
                    <a:stretch>
                      <a:fillRect/>
                    </a:stretch>
                  </pic:blipFill>
                  <pic:spPr>
                    <a:xfrm>
                      <a:off x="0" y="0"/>
                      <a:ext cx="7570679" cy="10693395"/>
                    </a:xfrm>
                    <a:prstGeom prst="rect">
                      <a:avLst/>
                    </a:prstGeom>
                  </pic:spPr>
                </pic:pic>
              </a:graphicData>
            </a:graphic>
            <wp14:sizeRelH relativeFrom="page">
              <wp14:pctWidth>0</wp14:pctWidth>
            </wp14:sizeRelH>
            <wp14:sizeRelV relativeFrom="page">
              <wp14:pctHeight>0</wp14:pctHeight>
            </wp14:sizeRelV>
          </wp:anchor>
        </w:drawing>
      </w:r>
    </w:p>
    <w:p w:rsidR="00FB4C58" w:rsidRDefault="00FB4C58">
      <w:pPr>
        <w:spacing w:after="160"/>
      </w:pPr>
      <w:r>
        <w:br w:type="page"/>
      </w:r>
    </w:p>
    <w:p w:rsidR="00940EBE" w:rsidRPr="00940EBE" w:rsidRDefault="00940EBE" w:rsidP="00940EBE">
      <w:pPr>
        <w:ind w:left="0" w:firstLine="0"/>
      </w:pPr>
      <w:r w:rsidRPr="00462DB1">
        <w:rPr>
          <w:b/>
        </w:rPr>
        <w:lastRenderedPageBreak/>
        <w:t>Rheumatoid Arthritis (RA)</w:t>
      </w:r>
      <w:r w:rsidRPr="00940EBE">
        <w:t xml:space="preserve"> is a chronic, progressive immunological disease that significantly impacts quality of life, mobility, and can shorten lifespan. Treatment focuses on slowing or arresting disease progression.</w:t>
      </w:r>
    </w:p>
    <w:p w:rsidR="00940EBE" w:rsidRPr="00940EBE" w:rsidRDefault="00940EBE" w:rsidP="008E1397">
      <w:pPr>
        <w:pStyle w:val="Heading1"/>
        <w:ind w:left="360"/>
      </w:pPr>
      <w:r w:rsidRPr="00940EBE">
        <w:t>I. Disease-Modifying Antirheumatic Drugs (DMARDs)</w:t>
      </w:r>
    </w:p>
    <w:p w:rsidR="00940EBE" w:rsidRPr="00940EBE" w:rsidRDefault="00940EBE" w:rsidP="00940EBE">
      <w:pPr>
        <w:ind w:left="0" w:firstLine="0"/>
      </w:pPr>
      <w:r w:rsidRPr="00940EBE">
        <w:t>DMARDs are fundamental to RA treatment, aiming to "slow the course of the disease, induce remission, and prevent further destruction of the joints and involved tissues." Early initiation is crucial; DMARDs "should be started within 3 months" of diagnosis. They are broadly categorized into conventional synthetic DMARDs (</w:t>
      </w:r>
      <w:proofErr w:type="spellStart"/>
      <w:r w:rsidRPr="00940EBE">
        <w:t>csDMARDs</w:t>
      </w:r>
      <w:proofErr w:type="spellEnd"/>
      <w:r w:rsidRPr="00940EBE">
        <w:t>), targeted synthetic DMARDs (</w:t>
      </w:r>
      <w:proofErr w:type="spellStart"/>
      <w:r w:rsidRPr="00940EBE">
        <w:t>tsDMARDs</w:t>
      </w:r>
      <w:proofErr w:type="spellEnd"/>
      <w:r w:rsidRPr="00940EBE">
        <w:t>), and biologic DMARDs (</w:t>
      </w:r>
      <w:proofErr w:type="spellStart"/>
      <w:r w:rsidRPr="00940EBE">
        <w:t>bDMARDs</w:t>
      </w:r>
      <w:proofErr w:type="spellEnd"/>
      <w:r w:rsidRPr="00940EBE">
        <w:t>).</w:t>
      </w:r>
    </w:p>
    <w:p w:rsidR="00940EBE" w:rsidRPr="00940EBE" w:rsidRDefault="00940EBE" w:rsidP="008E1397">
      <w:pPr>
        <w:pStyle w:val="Heading2"/>
      </w:pPr>
      <w:r w:rsidRPr="00940EBE">
        <w:t>A. Conventional Synthetic DMARDs (</w:t>
      </w:r>
      <w:proofErr w:type="spellStart"/>
      <w:r w:rsidRPr="00940EBE">
        <w:t>csDMARDs</w:t>
      </w:r>
      <w:proofErr w:type="spellEnd"/>
      <w:r w:rsidRPr="00940EBE">
        <w:t>)</w:t>
      </w:r>
    </w:p>
    <w:p w:rsidR="00940EBE" w:rsidRPr="00940EBE" w:rsidRDefault="00940EBE" w:rsidP="00940EBE">
      <w:pPr>
        <w:ind w:left="0" w:firstLine="0"/>
      </w:pPr>
      <w:r w:rsidRPr="00940EBE">
        <w:t>These are small-molecule drugs often used as first-line therapy, either as monotherapy or in combination.</w:t>
      </w:r>
    </w:p>
    <w:p w:rsidR="00940EBE" w:rsidRPr="00940EBE" w:rsidRDefault="00940EBE" w:rsidP="008E1397">
      <w:pPr>
        <w:pStyle w:val="Heading3"/>
      </w:pPr>
      <w:r w:rsidRPr="00940EBE">
        <w:t>Methotrexate</w:t>
      </w:r>
    </w:p>
    <w:p w:rsidR="00940EBE" w:rsidRPr="00940EBE" w:rsidRDefault="00940EBE" w:rsidP="00940EBE">
      <w:pPr>
        <w:numPr>
          <w:ilvl w:val="0"/>
          <w:numId w:val="2"/>
        </w:numPr>
      </w:pPr>
      <w:r w:rsidRPr="00940EBE">
        <w:rPr>
          <w:b/>
          <w:bCs/>
        </w:rPr>
        <w:t>Mainstay of Treatment:</w:t>
      </w:r>
      <w:r w:rsidRPr="00940EBE">
        <w:t xml:space="preserve"> "Methotrexate...has become a mainstay of treatment in patients with rheumatoid or psoriatic arthritis." It is the "first-line </w:t>
      </w:r>
      <w:proofErr w:type="spellStart"/>
      <w:r w:rsidRPr="00940EBE">
        <w:t>csDMARD</w:t>
      </w:r>
      <w:proofErr w:type="spellEnd"/>
      <w:r w:rsidRPr="00940EBE">
        <w:t xml:space="preserve"> for treating RA and is used in 50–70% of patients."</w:t>
      </w:r>
    </w:p>
    <w:p w:rsidR="00940EBE" w:rsidRPr="00940EBE" w:rsidRDefault="00940EBE" w:rsidP="00940EBE">
      <w:pPr>
        <w:numPr>
          <w:ilvl w:val="0"/>
          <w:numId w:val="2"/>
        </w:numPr>
      </w:pPr>
      <w:r w:rsidRPr="00940EBE">
        <w:rPr>
          <w:b/>
          <w:bCs/>
        </w:rPr>
        <w:t>Mechanism of Action:</w:t>
      </w:r>
      <w:r w:rsidRPr="00940EBE">
        <w:t xml:space="preserve"> Primarily inhibits thymidylate synthetase, leading to extracellular accumulation of adenosine, a potent anti-inflammatory agent. It also has immunosuppressive and anti-inflammatory effects as a folic acid antagonist.</w:t>
      </w:r>
    </w:p>
    <w:p w:rsidR="00940EBE" w:rsidRPr="00940EBE" w:rsidRDefault="00940EBE" w:rsidP="00940EBE">
      <w:pPr>
        <w:numPr>
          <w:ilvl w:val="0"/>
          <w:numId w:val="2"/>
        </w:numPr>
      </w:pPr>
      <w:r w:rsidRPr="00940EBE">
        <w:rPr>
          <w:b/>
          <w:bCs/>
        </w:rPr>
        <w:t>Pharmacokinetics/Dosage:</w:t>
      </w:r>
      <w:r w:rsidRPr="00940EBE">
        <w:t xml:space="preserve"> Given once weekly, typically 7.5-25 mg, much lower doses than in cancer chemotherapy, minimizing adverse effects. Response occurs within "3 to 6 weeks." Bioavailability may decrease with doses over 25 mg weekly.</w:t>
      </w:r>
    </w:p>
    <w:p w:rsidR="00940EBE" w:rsidRPr="00940EBE" w:rsidRDefault="00940EBE" w:rsidP="00940EBE">
      <w:pPr>
        <w:numPr>
          <w:ilvl w:val="0"/>
          <w:numId w:val="2"/>
        </w:numPr>
      </w:pPr>
      <w:r w:rsidRPr="00940EBE">
        <w:rPr>
          <w:b/>
          <w:bCs/>
        </w:rPr>
        <w:t>Indications:</w:t>
      </w:r>
      <w:r w:rsidRPr="00940EBE">
        <w:t xml:space="preserve"> RA, psoriatic arthritis, juvenile chronic arthritis, psoriasis, ankylosing spondylitis (AS), </w:t>
      </w:r>
      <w:proofErr w:type="spellStart"/>
      <w:r w:rsidRPr="00940EBE">
        <w:t>polymyositis</w:t>
      </w:r>
      <w:proofErr w:type="spellEnd"/>
      <w:r w:rsidRPr="00940EBE">
        <w:t xml:space="preserve">, </w:t>
      </w:r>
      <w:proofErr w:type="spellStart"/>
      <w:r w:rsidRPr="00940EBE">
        <w:t>dermatomyositis</w:t>
      </w:r>
      <w:proofErr w:type="spellEnd"/>
      <w:r w:rsidRPr="00940EBE">
        <w:t>, Wegener’s granulomatosis, giant cell arteritis, SLE, and vasculitis.</w:t>
      </w:r>
    </w:p>
    <w:p w:rsidR="00940EBE" w:rsidRPr="00940EBE" w:rsidRDefault="00940EBE" w:rsidP="00940EBE">
      <w:pPr>
        <w:numPr>
          <w:ilvl w:val="0"/>
          <w:numId w:val="2"/>
        </w:numPr>
      </w:pPr>
      <w:r w:rsidRPr="00940EBE">
        <w:rPr>
          <w:b/>
          <w:bCs/>
        </w:rPr>
        <w:t>Adverse Effects:</w:t>
      </w:r>
      <w:r w:rsidRPr="00940EBE">
        <w:t xml:space="preserve"> Most common are "mucosal ulceration and nausea." Others include </w:t>
      </w:r>
      <w:proofErr w:type="spellStart"/>
      <w:r w:rsidRPr="00940EBE">
        <w:t>cytopenias</w:t>
      </w:r>
      <w:proofErr w:type="spellEnd"/>
      <w:r w:rsidRPr="00940EBE">
        <w:t>, cirrhosis (rare, &lt;1%), and a pneumonia-like syndrome. Leucovorin or folic acid can reduce GI and liver abnormalities. Contraindicated in pregnancy.</w:t>
      </w:r>
    </w:p>
    <w:p w:rsidR="00940EBE" w:rsidRPr="00940EBE" w:rsidRDefault="008E1397" w:rsidP="008E1397">
      <w:pPr>
        <w:pStyle w:val="Heading3"/>
      </w:pPr>
      <w:r>
        <w:t>Hydroxychloroquine</w:t>
      </w:r>
    </w:p>
    <w:p w:rsidR="00940EBE" w:rsidRPr="00940EBE" w:rsidRDefault="00940EBE" w:rsidP="00940EBE">
      <w:pPr>
        <w:numPr>
          <w:ilvl w:val="0"/>
          <w:numId w:val="4"/>
        </w:numPr>
      </w:pPr>
      <w:r w:rsidRPr="00940EBE">
        <w:rPr>
          <w:b/>
          <w:bCs/>
        </w:rPr>
        <w:t>Mechanism of Action:</w:t>
      </w:r>
      <w:r w:rsidRPr="00940EBE">
        <w:t xml:space="preserve"> Unknown in autoimmune disorders, but proposed mechanisms include suppression of T-lymphocyte responses, inhibition of leukocyte chemotaxis, and trapping of free radicals.</w:t>
      </w:r>
    </w:p>
    <w:p w:rsidR="00940EBE" w:rsidRPr="00940EBE" w:rsidRDefault="00940EBE" w:rsidP="00940EBE">
      <w:pPr>
        <w:numPr>
          <w:ilvl w:val="0"/>
          <w:numId w:val="4"/>
        </w:numPr>
      </w:pPr>
      <w:r w:rsidRPr="00940EBE">
        <w:rPr>
          <w:b/>
          <w:bCs/>
        </w:rPr>
        <w:t>Indications:</w:t>
      </w:r>
      <w:r w:rsidRPr="00940EBE">
        <w:t xml:space="preserve"> Used for "early, mild RA," often combined with methotrexate. Also used in lupus and malaria. "Not considered very effective DMARDs" for RA alone, with no evidence of altering bony damage at usual dosages. Response takes "6 weeks to 6 months."</w:t>
      </w:r>
    </w:p>
    <w:p w:rsidR="00940EBE" w:rsidRPr="00940EBE" w:rsidRDefault="00940EBE" w:rsidP="00940EBE">
      <w:pPr>
        <w:numPr>
          <w:ilvl w:val="0"/>
          <w:numId w:val="4"/>
        </w:numPr>
      </w:pPr>
      <w:r w:rsidRPr="00940EBE">
        <w:rPr>
          <w:b/>
          <w:bCs/>
        </w:rPr>
        <w:t>Adverse Effects:</w:t>
      </w:r>
      <w:r w:rsidRPr="00940EBE">
        <w:t xml:space="preserve"> Less effect on liver and immune system than other DMARDs. Main concern is "ocular toxicity, including irreversible retinal damage and corneal deposits." Ophthalmologic monitoring is advised. Relatively safe in pregnancy.</w:t>
      </w:r>
    </w:p>
    <w:p w:rsidR="00940EBE" w:rsidRPr="00940EBE" w:rsidRDefault="008E1397" w:rsidP="008E1397">
      <w:pPr>
        <w:pStyle w:val="Heading3"/>
      </w:pPr>
      <w:r>
        <w:t>Sulfasalazine</w:t>
      </w:r>
    </w:p>
    <w:p w:rsidR="00940EBE" w:rsidRPr="00940EBE" w:rsidRDefault="00940EBE" w:rsidP="00940EBE">
      <w:pPr>
        <w:numPr>
          <w:ilvl w:val="0"/>
          <w:numId w:val="8"/>
        </w:numPr>
      </w:pPr>
      <w:r w:rsidRPr="00940EBE">
        <w:rPr>
          <w:b/>
          <w:bCs/>
        </w:rPr>
        <w:t>Mechanism of Action:</w:t>
      </w:r>
      <w:r w:rsidRPr="00940EBE">
        <w:t xml:space="preserve"> Metabolized to </w:t>
      </w:r>
      <w:proofErr w:type="spellStart"/>
      <w:r w:rsidRPr="00940EBE">
        <w:t>sulfapyridine</w:t>
      </w:r>
      <w:proofErr w:type="spellEnd"/>
      <w:r w:rsidRPr="00940EBE">
        <w:t xml:space="preserve"> (active moiety for RA) and 5-aminosalicylic acid. Inhibits T-cell and B-cell proliferation and inflammatory cytokine release (IL-1, -6, -12, TNF-</w:t>
      </w:r>
      <w:r w:rsidRPr="00940EBE">
        <w:rPr>
          <w:rFonts w:ascii="Calibri" w:hAnsi="Calibri" w:cs="Calibri"/>
        </w:rPr>
        <w:t>α</w:t>
      </w:r>
      <w:r w:rsidRPr="00940EBE">
        <w:t>).</w:t>
      </w:r>
    </w:p>
    <w:p w:rsidR="00940EBE" w:rsidRPr="00940EBE" w:rsidRDefault="00940EBE" w:rsidP="00940EBE">
      <w:pPr>
        <w:numPr>
          <w:ilvl w:val="0"/>
          <w:numId w:val="8"/>
        </w:numPr>
      </w:pPr>
      <w:r w:rsidRPr="00940EBE">
        <w:rPr>
          <w:b/>
          <w:bCs/>
        </w:rPr>
        <w:t>Indications:</w:t>
      </w:r>
      <w:r w:rsidRPr="00940EBE">
        <w:t xml:space="preserve"> Effective in RA, reducing radiologic disease progression. Also used in juvenile chronic arthritis, psoriatic arthritis (</w:t>
      </w:r>
      <w:proofErr w:type="spellStart"/>
      <w:r w:rsidRPr="00940EBE">
        <w:t>PsA</w:t>
      </w:r>
      <w:proofErr w:type="spellEnd"/>
      <w:r w:rsidRPr="00940EBE">
        <w:t xml:space="preserve">), inflammatory bowel disease, AS, and </w:t>
      </w:r>
      <w:proofErr w:type="spellStart"/>
      <w:r w:rsidRPr="00940EBE">
        <w:t>spondyloarthropathy</w:t>
      </w:r>
      <w:proofErr w:type="spellEnd"/>
      <w:r w:rsidRPr="00940EBE">
        <w:t>-associated uveitis.</w:t>
      </w:r>
    </w:p>
    <w:p w:rsidR="00940EBE" w:rsidRPr="00940EBE" w:rsidRDefault="00940EBE" w:rsidP="00940EBE">
      <w:pPr>
        <w:numPr>
          <w:ilvl w:val="0"/>
          <w:numId w:val="8"/>
        </w:numPr>
      </w:pPr>
      <w:r w:rsidRPr="00940EBE">
        <w:rPr>
          <w:b/>
          <w:bCs/>
        </w:rPr>
        <w:t>Adverse Effects:</w:t>
      </w:r>
      <w:r w:rsidRPr="00940EBE">
        <w:t xml:space="preserve"> High discontinuation rate due to toxicity (~30%). Common are nausea, vomiting, headache, rash. Rare: hemolytic anemia, </w:t>
      </w:r>
      <w:r w:rsidR="00725EEF" w:rsidRPr="00725EEF">
        <w:rPr>
          <w:b/>
        </w:rPr>
        <w:t>Methemoglobinemia</w:t>
      </w:r>
      <w:r w:rsidRPr="00940EBE">
        <w:t>, neutropenia (1-5%), pulmonary toxicity. Reversible male infertility. Does not appear teratogenic.</w:t>
      </w:r>
    </w:p>
    <w:p w:rsidR="00940EBE" w:rsidRPr="00940EBE" w:rsidRDefault="00940EBE" w:rsidP="00940EBE">
      <w:pPr>
        <w:numPr>
          <w:ilvl w:val="0"/>
          <w:numId w:val="9"/>
        </w:numPr>
      </w:pPr>
      <w:r w:rsidRPr="00940EBE">
        <w:rPr>
          <w:b/>
          <w:bCs/>
        </w:rPr>
        <w:t>Azathioprine:</w:t>
      </w:r>
    </w:p>
    <w:p w:rsidR="00940EBE" w:rsidRPr="00940EBE" w:rsidRDefault="00940EBE" w:rsidP="00940EBE">
      <w:pPr>
        <w:numPr>
          <w:ilvl w:val="0"/>
          <w:numId w:val="10"/>
        </w:numPr>
      </w:pPr>
      <w:r w:rsidRPr="00940EBE">
        <w:rPr>
          <w:b/>
          <w:bCs/>
        </w:rPr>
        <w:t>Mechanism of Action:</w:t>
      </w:r>
      <w:r w:rsidRPr="00940EBE">
        <w:t xml:space="preserve"> Metabolized to 6-thioguanine, which suppresses </w:t>
      </w:r>
      <w:proofErr w:type="spellStart"/>
      <w:r w:rsidRPr="00940EBE">
        <w:t>inosinic</w:t>
      </w:r>
      <w:proofErr w:type="spellEnd"/>
      <w:r w:rsidRPr="00940EBE">
        <w:t xml:space="preserve"> acid synthesis, B-cell and T-cell function, immunoglobulin production, and IL-2 secretion.</w:t>
      </w:r>
    </w:p>
    <w:p w:rsidR="00940EBE" w:rsidRPr="00940EBE" w:rsidRDefault="00940EBE" w:rsidP="00940EBE">
      <w:pPr>
        <w:numPr>
          <w:ilvl w:val="0"/>
          <w:numId w:val="10"/>
        </w:numPr>
      </w:pPr>
      <w:r w:rsidRPr="00940EBE">
        <w:rPr>
          <w:b/>
          <w:bCs/>
        </w:rPr>
        <w:t>Indications:</w:t>
      </w:r>
      <w:r w:rsidRPr="00940EBE">
        <w:t xml:space="preserve"> Approved for RA at 2 mg/kg/day. Used for kidney transplant rejection prevention and in </w:t>
      </w:r>
      <w:proofErr w:type="spellStart"/>
      <w:r w:rsidRPr="00940EBE">
        <w:t>PsA</w:t>
      </w:r>
      <w:proofErr w:type="spellEnd"/>
      <w:r w:rsidRPr="00940EBE">
        <w:t xml:space="preserve">, reactive arthritis, </w:t>
      </w:r>
      <w:proofErr w:type="spellStart"/>
      <w:r w:rsidRPr="00940EBE">
        <w:t>polymyositis</w:t>
      </w:r>
      <w:proofErr w:type="spellEnd"/>
      <w:r w:rsidRPr="00940EBE">
        <w:t xml:space="preserve">, SLE, vasculitis remission, and </w:t>
      </w:r>
      <w:proofErr w:type="spellStart"/>
      <w:r w:rsidRPr="00940EBE">
        <w:t>Behçet’s</w:t>
      </w:r>
      <w:proofErr w:type="spellEnd"/>
      <w:r w:rsidRPr="00940EBE">
        <w:t xml:space="preserve"> disease.</w:t>
      </w:r>
    </w:p>
    <w:p w:rsidR="00940EBE" w:rsidRPr="00940EBE" w:rsidRDefault="00940EBE" w:rsidP="00940EBE">
      <w:pPr>
        <w:numPr>
          <w:ilvl w:val="0"/>
          <w:numId w:val="10"/>
        </w:numPr>
      </w:pPr>
      <w:r w:rsidRPr="00940EBE">
        <w:rPr>
          <w:b/>
          <w:bCs/>
        </w:rPr>
        <w:t>Adverse Effects:</w:t>
      </w:r>
      <w:r w:rsidRPr="00940EBE">
        <w:t xml:space="preserve"> Bone marrow suppression, GI disturbances, increased infection risk. Possible increase in lymphomas. Rare: fever, rash, hepatotoxicity.</w:t>
      </w:r>
    </w:p>
    <w:p w:rsidR="00940EBE" w:rsidRPr="00940EBE" w:rsidRDefault="008E1397" w:rsidP="008E1397">
      <w:pPr>
        <w:pStyle w:val="Heading3"/>
      </w:pPr>
      <w:r>
        <w:t>Cyclophosphamide</w:t>
      </w:r>
    </w:p>
    <w:p w:rsidR="00940EBE" w:rsidRPr="00940EBE" w:rsidRDefault="00940EBE" w:rsidP="00940EBE">
      <w:pPr>
        <w:numPr>
          <w:ilvl w:val="0"/>
          <w:numId w:val="12"/>
        </w:numPr>
      </w:pPr>
      <w:r w:rsidRPr="00940EBE">
        <w:rPr>
          <w:b/>
          <w:bCs/>
        </w:rPr>
        <w:t>Mechanism of Action:</w:t>
      </w:r>
      <w:r w:rsidRPr="00940EBE">
        <w:t xml:space="preserve"> Major active metabolite, phosphoramide mustard, cross-links DNA to prevent cell replication, suppressing T-cell and B-cell function.</w:t>
      </w:r>
    </w:p>
    <w:p w:rsidR="00940EBE" w:rsidRPr="00940EBE" w:rsidRDefault="00940EBE" w:rsidP="00940EBE">
      <w:pPr>
        <w:numPr>
          <w:ilvl w:val="0"/>
          <w:numId w:val="12"/>
        </w:numPr>
      </w:pPr>
      <w:r w:rsidRPr="00940EBE">
        <w:rPr>
          <w:b/>
          <w:bCs/>
        </w:rPr>
        <w:t>Indications:</w:t>
      </w:r>
      <w:r w:rsidRPr="00940EBE">
        <w:t xml:space="preserve"> Used for SLE, vasculitis, Wegener’s granulomatosis, and other severe rheumatic diseases.</w:t>
      </w:r>
    </w:p>
    <w:p w:rsidR="00940EBE" w:rsidRPr="00940EBE" w:rsidRDefault="008E1397" w:rsidP="008E1397">
      <w:pPr>
        <w:pStyle w:val="Heading3"/>
      </w:pPr>
      <w:r>
        <w:t>Cyclosporine</w:t>
      </w:r>
    </w:p>
    <w:p w:rsidR="00940EBE" w:rsidRPr="00940EBE" w:rsidRDefault="00940EBE" w:rsidP="00940EBE">
      <w:pPr>
        <w:numPr>
          <w:ilvl w:val="0"/>
          <w:numId w:val="14"/>
        </w:numPr>
      </w:pPr>
      <w:r w:rsidRPr="00940EBE">
        <w:rPr>
          <w:b/>
          <w:bCs/>
        </w:rPr>
        <w:t>Mechanism of Action:</w:t>
      </w:r>
      <w:r w:rsidRPr="00940EBE">
        <w:t xml:space="preserve"> Peptide antibiotic that inhibits IL-1 and IL-2 receptor production through gene transcription regulation, affecting macrophage–T-cell interaction and T-cell responsiveness.</w:t>
      </w:r>
    </w:p>
    <w:p w:rsidR="00940EBE" w:rsidRPr="00940EBE" w:rsidRDefault="00940EBE" w:rsidP="00940EBE">
      <w:pPr>
        <w:numPr>
          <w:ilvl w:val="0"/>
          <w:numId w:val="14"/>
        </w:numPr>
      </w:pPr>
      <w:r w:rsidRPr="00940EBE">
        <w:rPr>
          <w:b/>
          <w:bCs/>
        </w:rPr>
        <w:t>Indications:</w:t>
      </w:r>
      <w:r w:rsidRPr="00940EBE">
        <w:t xml:space="preserve"> Approved for RA, retarding bony erosions. May be useful in SLE, </w:t>
      </w:r>
      <w:proofErr w:type="spellStart"/>
      <w:r w:rsidRPr="00940EBE">
        <w:t>polymyositis</w:t>
      </w:r>
      <w:proofErr w:type="spellEnd"/>
      <w:r w:rsidRPr="00940EBE">
        <w:t xml:space="preserve">, </w:t>
      </w:r>
      <w:proofErr w:type="spellStart"/>
      <w:r w:rsidRPr="00940EBE">
        <w:t>dermatomyositis</w:t>
      </w:r>
      <w:proofErr w:type="spellEnd"/>
      <w:r w:rsidRPr="00940EBE">
        <w:t xml:space="preserve">, Wegener’s granulomatosis, juvenile chronic arthritis, and refractory </w:t>
      </w:r>
      <w:proofErr w:type="spellStart"/>
      <w:r w:rsidRPr="00940EBE">
        <w:t>Behçet</w:t>
      </w:r>
      <w:proofErr w:type="spellEnd"/>
      <w:r w:rsidRPr="00940EBE">
        <w:t xml:space="preserve"> disease eye involvement.</w:t>
      </w:r>
    </w:p>
    <w:p w:rsidR="00940EBE" w:rsidRPr="00940EBE" w:rsidRDefault="00940EBE" w:rsidP="00940EBE">
      <w:pPr>
        <w:numPr>
          <w:ilvl w:val="0"/>
          <w:numId w:val="14"/>
        </w:numPr>
      </w:pPr>
      <w:r w:rsidRPr="00940EBE">
        <w:rPr>
          <w:b/>
          <w:bCs/>
        </w:rPr>
        <w:t>Adverse Effects:</w:t>
      </w:r>
      <w:r w:rsidRPr="00940EBE">
        <w:t xml:space="preserve"> Leukopenia, thrombocytopenia, anemia. High doses can be cardiotoxic and neurotoxic. Sterility possible with chronic dosing, especially in women. Rare bladder cancer risk.</w:t>
      </w:r>
    </w:p>
    <w:p w:rsidR="00940EBE" w:rsidRPr="00940EBE" w:rsidRDefault="008E1397" w:rsidP="008E1397">
      <w:pPr>
        <w:pStyle w:val="Heading3"/>
      </w:pPr>
      <w:r>
        <w:t xml:space="preserve">Mycophenolate </w:t>
      </w:r>
      <w:proofErr w:type="spellStart"/>
      <w:r>
        <w:t>Mofetil</w:t>
      </w:r>
      <w:proofErr w:type="spellEnd"/>
      <w:r>
        <w:t xml:space="preserve"> (MMF)</w:t>
      </w:r>
    </w:p>
    <w:p w:rsidR="00940EBE" w:rsidRPr="00940EBE" w:rsidRDefault="00940EBE" w:rsidP="00940EBE">
      <w:pPr>
        <w:numPr>
          <w:ilvl w:val="0"/>
          <w:numId w:val="16"/>
        </w:numPr>
      </w:pPr>
      <w:r w:rsidRPr="00940EBE">
        <w:rPr>
          <w:b/>
          <w:bCs/>
        </w:rPr>
        <w:t>Mechanism of Action:</w:t>
      </w:r>
      <w:r w:rsidRPr="00940EBE">
        <w:t xml:space="preserve"> Converted to mycophenolic acid, which inhibits inosine monophosphate dehydrogenase, suppressing T- and B-lymphocyte proliferation.</w:t>
      </w:r>
    </w:p>
    <w:p w:rsidR="00940EBE" w:rsidRPr="00940EBE" w:rsidRDefault="00940EBE" w:rsidP="00940EBE">
      <w:pPr>
        <w:numPr>
          <w:ilvl w:val="0"/>
          <w:numId w:val="16"/>
        </w:numPr>
      </w:pPr>
      <w:r w:rsidRPr="00940EBE">
        <w:rPr>
          <w:b/>
          <w:bCs/>
        </w:rPr>
        <w:t>Indications:</w:t>
      </w:r>
      <w:r w:rsidRPr="00940EBE">
        <w:t xml:space="preserve"> Effective for renal disease due to SLE. May be useful in vasculitis and Wegener’s granulomatosis. Occasionally used for RA, but "no well-controlled data regarding its efficacy in this disease."</w:t>
      </w:r>
    </w:p>
    <w:p w:rsidR="00940EBE" w:rsidRPr="00940EBE" w:rsidRDefault="00940EBE" w:rsidP="00940EBE">
      <w:pPr>
        <w:numPr>
          <w:ilvl w:val="0"/>
          <w:numId w:val="16"/>
        </w:numPr>
      </w:pPr>
      <w:r w:rsidRPr="00940EBE">
        <w:rPr>
          <w:b/>
          <w:bCs/>
        </w:rPr>
        <w:t>Adverse Effects:</w:t>
      </w:r>
      <w:r w:rsidRPr="00940EBE">
        <w:t xml:space="preserve"> Nausea, dyspepsia, abdominal pain. Can cause hepatotoxicity, leukopenia, thrombocytopenia, anemia. Increased infection incidence. Rarely associated with malignancy.</w:t>
      </w:r>
    </w:p>
    <w:p w:rsidR="00940EBE" w:rsidRPr="00940EBE" w:rsidRDefault="00940EBE" w:rsidP="00940EBE">
      <w:pPr>
        <w:numPr>
          <w:ilvl w:val="0"/>
          <w:numId w:val="17"/>
        </w:numPr>
      </w:pPr>
      <w:r w:rsidRPr="00940EBE">
        <w:t>hepatic dysfunction. Requires monitoring of hemoglobin, lymphocyte, and neutrophil counts.</w:t>
      </w:r>
    </w:p>
    <w:p w:rsidR="00940EBE" w:rsidRPr="00940EBE" w:rsidRDefault="00940EBE" w:rsidP="008E1397">
      <w:pPr>
        <w:pStyle w:val="Heading2"/>
      </w:pPr>
      <w:r w:rsidRPr="00940EBE">
        <w:t>C. Biologic DMARDs (</w:t>
      </w:r>
      <w:proofErr w:type="spellStart"/>
      <w:r w:rsidRPr="00940EBE">
        <w:t>bDMARDs</w:t>
      </w:r>
      <w:proofErr w:type="spellEnd"/>
      <w:r w:rsidRPr="00940EBE">
        <w:t>)</w:t>
      </w:r>
    </w:p>
    <w:p w:rsidR="00940EBE" w:rsidRPr="00940EBE" w:rsidRDefault="00940EBE" w:rsidP="00940EBE">
      <w:pPr>
        <w:ind w:left="0" w:firstLine="0"/>
      </w:pPr>
      <w:r w:rsidRPr="00940EBE">
        <w:t>Large-molecule therapeutic agents, typically proteins produced by recombinant DNA technology, that target specific components of the immune system.</w:t>
      </w:r>
    </w:p>
    <w:p w:rsidR="00940EBE" w:rsidRPr="00940EBE" w:rsidRDefault="00940EBE" w:rsidP="008E1397">
      <w:pPr>
        <w:pStyle w:val="Heading3"/>
      </w:pPr>
      <w:r w:rsidRPr="00940EBE">
        <w:t>TNF-</w:t>
      </w:r>
      <w:r w:rsidRPr="00940EBE">
        <w:rPr>
          <w:rFonts w:ascii="Calibri" w:hAnsi="Calibri" w:cs="Calibri"/>
        </w:rPr>
        <w:t>α</w:t>
      </w:r>
      <w:r w:rsidRPr="00940EBE">
        <w:t xml:space="preserve"> Blocking Agents (Ada</w:t>
      </w:r>
      <w:r w:rsidR="008E1397">
        <w:t xml:space="preserve">limumab, </w:t>
      </w:r>
      <w:proofErr w:type="spellStart"/>
      <w:r w:rsidR="008E1397">
        <w:t>Golimumab</w:t>
      </w:r>
      <w:proofErr w:type="spellEnd"/>
      <w:r w:rsidR="008E1397">
        <w:t>, Infliximab)</w:t>
      </w:r>
    </w:p>
    <w:p w:rsidR="00940EBE" w:rsidRPr="00940EBE" w:rsidRDefault="00940EBE" w:rsidP="00940EBE">
      <w:pPr>
        <w:numPr>
          <w:ilvl w:val="0"/>
          <w:numId w:val="19"/>
        </w:numPr>
      </w:pPr>
      <w:r w:rsidRPr="00940EBE">
        <w:rPr>
          <w:b/>
          <w:bCs/>
        </w:rPr>
        <w:t>Mechanism of Action:</w:t>
      </w:r>
      <w:r w:rsidRPr="00940EBE">
        <w:t xml:space="preserve"> These drugs bind to and neutralize TNF-</w:t>
      </w:r>
      <w:r w:rsidRPr="00940EBE">
        <w:rPr>
          <w:rFonts w:ascii="Calibri" w:hAnsi="Calibri" w:cs="Calibri"/>
        </w:rPr>
        <w:t>α</w:t>
      </w:r>
      <w:r w:rsidRPr="00940EBE">
        <w:t>, a key cytokine in RA inflammation, blocking its interaction with cell surface receptors.</w:t>
      </w:r>
    </w:p>
    <w:p w:rsidR="00940EBE" w:rsidRPr="00940EBE" w:rsidRDefault="00940EBE" w:rsidP="00940EBE">
      <w:pPr>
        <w:numPr>
          <w:ilvl w:val="0"/>
          <w:numId w:val="19"/>
        </w:numPr>
      </w:pPr>
      <w:r w:rsidRPr="00940EBE">
        <w:rPr>
          <w:b/>
          <w:bCs/>
        </w:rPr>
        <w:t>Indications:</w:t>
      </w:r>
      <w:r w:rsidRPr="00940EBE">
        <w:t xml:space="preserve"> Moderate to severe RA. Adalimumab, </w:t>
      </w:r>
      <w:proofErr w:type="spellStart"/>
      <w:r w:rsidRPr="00940EBE">
        <w:t>Etanercept</w:t>
      </w:r>
      <w:proofErr w:type="spellEnd"/>
      <w:r w:rsidRPr="00940EBE">
        <w:t xml:space="preserve">, and </w:t>
      </w:r>
      <w:proofErr w:type="spellStart"/>
      <w:r w:rsidRPr="00940EBE">
        <w:t>Golimumab</w:t>
      </w:r>
      <w:proofErr w:type="spellEnd"/>
      <w:r w:rsidRPr="00940EBE">
        <w:t xml:space="preserve"> can be used as monotherapy or in combination with methotrexate. Infliximab is approved for use in combination with methotrexate, not monotherapy, to reduce anti-infliximab antibody development. Also indicated for </w:t>
      </w:r>
      <w:proofErr w:type="spellStart"/>
      <w:r w:rsidRPr="00940EBE">
        <w:t>PsA</w:t>
      </w:r>
      <w:proofErr w:type="spellEnd"/>
      <w:r w:rsidRPr="00940EBE">
        <w:t>, AS, Crohn's disease, and plaque psoriasis (specific to agent).</w:t>
      </w:r>
    </w:p>
    <w:p w:rsidR="00940EBE" w:rsidRPr="00940EBE" w:rsidRDefault="00940EBE" w:rsidP="00940EBE">
      <w:pPr>
        <w:numPr>
          <w:ilvl w:val="0"/>
          <w:numId w:val="19"/>
        </w:numPr>
      </w:pPr>
      <w:r w:rsidRPr="00940EBE">
        <w:rPr>
          <w:b/>
          <w:bCs/>
        </w:rPr>
        <w:t>Pharmacokinetics:</w:t>
      </w:r>
      <w:r w:rsidRPr="00940EBE">
        <w:t xml:space="preserve"> Administered subcutaneously (Adalimumab, </w:t>
      </w:r>
      <w:proofErr w:type="spellStart"/>
      <w:r w:rsidRPr="00940EBE">
        <w:t>Certolizumab</w:t>
      </w:r>
      <w:proofErr w:type="spellEnd"/>
      <w:r w:rsidRPr="00940EBE">
        <w:t xml:space="preserve">, </w:t>
      </w:r>
      <w:proofErr w:type="spellStart"/>
      <w:r w:rsidRPr="00940EBE">
        <w:t>Etanercept</w:t>
      </w:r>
      <w:proofErr w:type="spellEnd"/>
      <w:r w:rsidRPr="00940EBE">
        <w:t xml:space="preserve">, </w:t>
      </w:r>
      <w:proofErr w:type="spellStart"/>
      <w:r w:rsidRPr="00940EBE">
        <w:t>Golimumab</w:t>
      </w:r>
      <w:proofErr w:type="spellEnd"/>
      <w:r w:rsidRPr="00940EBE">
        <w:t>) or intravenously (Infliximab). Half-lives vary (e.g., Adalimumab 10-20 days, Infliximab 9-12 days). Methotrexate can decrease clearance or antibody formation.</w:t>
      </w:r>
    </w:p>
    <w:p w:rsidR="00940EBE" w:rsidRPr="00940EBE" w:rsidRDefault="00940EBE" w:rsidP="00940EBE">
      <w:pPr>
        <w:numPr>
          <w:ilvl w:val="0"/>
          <w:numId w:val="19"/>
        </w:numPr>
      </w:pPr>
      <w:r w:rsidRPr="00940EBE">
        <w:rPr>
          <w:b/>
          <w:bCs/>
        </w:rPr>
        <w:t>Common Adverse Effects:</w:t>
      </w:r>
      <w:r w:rsidRPr="00940EBE">
        <w:t xml:space="preserve"> " All patients should be screened for latent/active TB and HBV. Increased risk of skin cancers. Can exacerbate heart failure. Injection site reactions (20-40%). Rarely: leukopenia, neutropenia, thrombocytopenia, pancytopenia, gastrointestinal ulcers/perforation.</w:t>
      </w:r>
    </w:p>
    <w:p w:rsidR="00940EBE" w:rsidRPr="00940EBE" w:rsidRDefault="00940EBE" w:rsidP="008E1397">
      <w:pPr>
        <w:pStyle w:val="Heading3"/>
      </w:pPr>
      <w:r w:rsidRPr="00940EBE">
        <w:t xml:space="preserve">T-cell </w:t>
      </w:r>
      <w:r w:rsidR="008E1397">
        <w:t>Modulating Biologic (</w:t>
      </w:r>
      <w:proofErr w:type="spellStart"/>
      <w:r w:rsidR="008E1397">
        <w:t>Abatacept</w:t>
      </w:r>
      <w:proofErr w:type="spellEnd"/>
      <w:r w:rsidR="008E1397">
        <w:t>)</w:t>
      </w:r>
    </w:p>
    <w:p w:rsidR="00940EBE" w:rsidRPr="00940EBE" w:rsidRDefault="00940EBE" w:rsidP="00940EBE">
      <w:pPr>
        <w:numPr>
          <w:ilvl w:val="0"/>
          <w:numId w:val="21"/>
        </w:numPr>
      </w:pPr>
      <w:r w:rsidRPr="00940EBE">
        <w:rPr>
          <w:b/>
          <w:bCs/>
        </w:rPr>
        <w:t>Mechanism of Action:</w:t>
      </w:r>
      <w:r w:rsidRPr="00940EBE">
        <w:t xml:space="preserve"> "Co-stimulation modulator biologic that inhibits the activation of T cells." It binds to CD80/CD86 proteins on antigen-presenting cells, preventing interaction with CD28 on T cells, thus blocking full T-cell activation.</w:t>
      </w:r>
    </w:p>
    <w:p w:rsidR="00940EBE" w:rsidRPr="00940EBE" w:rsidRDefault="00940EBE" w:rsidP="00940EBE">
      <w:pPr>
        <w:numPr>
          <w:ilvl w:val="0"/>
          <w:numId w:val="21"/>
        </w:numPr>
      </w:pPr>
      <w:r w:rsidRPr="00940EBE">
        <w:rPr>
          <w:b/>
          <w:bCs/>
        </w:rPr>
        <w:t>Indications:</w:t>
      </w:r>
      <w:r w:rsidRPr="00940EBE">
        <w:t xml:space="preserve"> "Moderate to severe RA who have had an inadequate response to DMARDs or TNF-</w:t>
      </w:r>
      <w:r w:rsidRPr="00940EBE">
        <w:rPr>
          <w:rFonts w:ascii="Calibri" w:hAnsi="Calibri" w:cs="Calibri"/>
        </w:rPr>
        <w:t>α</w:t>
      </w:r>
      <w:r w:rsidRPr="00940EBE">
        <w:t xml:space="preserve"> inhibitors." Can be used as monotherapy or with methotrexate/other DMARDs. Tested in early rapidly progressing RA and undifferentiated inflammatory arthritis.</w:t>
      </w:r>
    </w:p>
    <w:p w:rsidR="00940EBE" w:rsidRPr="00940EBE" w:rsidRDefault="00940EBE" w:rsidP="00940EBE">
      <w:pPr>
        <w:numPr>
          <w:ilvl w:val="0"/>
          <w:numId w:val="21"/>
        </w:numPr>
      </w:pPr>
      <w:r w:rsidRPr="00940EBE">
        <w:rPr>
          <w:b/>
          <w:bCs/>
        </w:rPr>
        <w:t>Pharmacokinetics:</w:t>
      </w:r>
      <w:r w:rsidRPr="00940EBE">
        <w:t xml:space="preserve"> Administered as IV infusion every 4 weeks or subcutaneously weekly. Response within "12–16 weeks," some as early as "2–4 weeks."</w:t>
      </w:r>
    </w:p>
    <w:p w:rsidR="00940EBE" w:rsidRPr="00940EBE" w:rsidRDefault="00940EBE" w:rsidP="00940EBE">
      <w:pPr>
        <w:numPr>
          <w:ilvl w:val="0"/>
          <w:numId w:val="21"/>
        </w:numPr>
      </w:pPr>
      <w:r w:rsidRPr="00940EBE">
        <w:rPr>
          <w:b/>
          <w:bCs/>
        </w:rPr>
        <w:t>Adverse Effects:</w:t>
      </w:r>
      <w:r w:rsidRPr="00940EBE">
        <w:t xml:space="preserve"> Slightly increased risk of infection (upper respiratory, urinary tracts). "Concurrent use with TNF-</w:t>
      </w:r>
      <w:r w:rsidRPr="00940EBE">
        <w:rPr>
          <w:rFonts w:ascii="Calibri" w:hAnsi="Calibri" w:cs="Calibri"/>
        </w:rPr>
        <w:t>α</w:t>
      </w:r>
      <w:r w:rsidRPr="00940EBE">
        <w:t xml:space="preserve"> inhibitors is not recommended due to increased risk of serious infections." Screen for latent TB and viral hepatitis. Live vaccines should be avoided. Rare infusion-related reactions and hypersensitivity. Possible increase in lymphomas.</w:t>
      </w:r>
    </w:p>
    <w:p w:rsidR="00940EBE" w:rsidRPr="00940EBE" w:rsidRDefault="00940EBE" w:rsidP="008E1397">
      <w:pPr>
        <w:pStyle w:val="Heading2"/>
      </w:pPr>
      <w:r w:rsidRPr="00940EBE">
        <w:t>II. Combination Therapy with DMARDs</w:t>
      </w:r>
    </w:p>
    <w:p w:rsidR="00940EBE" w:rsidRPr="00940EBE" w:rsidRDefault="00940EBE" w:rsidP="00940EBE">
      <w:pPr>
        <w:ind w:left="0" w:firstLine="0"/>
      </w:pPr>
      <w:r w:rsidRPr="00940EBE">
        <w:t xml:space="preserve">Combination therapy for RA is increasingly common, especially for patients not adequately responding to monotherapy. This approach is "designed rationally on the basis of complementary mechanisms of action, </w:t>
      </w:r>
      <w:proofErr w:type="spellStart"/>
      <w:r w:rsidRPr="00940EBE">
        <w:t>nonoverlapping</w:t>
      </w:r>
      <w:proofErr w:type="spellEnd"/>
      <w:r w:rsidRPr="00940EBE">
        <w:t xml:space="preserve"> pharmacokinetics, and </w:t>
      </w:r>
      <w:proofErr w:type="spellStart"/>
      <w:r w:rsidRPr="00940EBE">
        <w:t>nonoverlapping</w:t>
      </w:r>
      <w:proofErr w:type="spellEnd"/>
      <w:r w:rsidRPr="00940EBE">
        <w:t xml:space="preserve"> toxicities."</w:t>
      </w:r>
    </w:p>
    <w:p w:rsidR="00940EBE" w:rsidRPr="00940EBE" w:rsidRDefault="00940EBE" w:rsidP="00940EBE">
      <w:pPr>
        <w:numPr>
          <w:ilvl w:val="0"/>
          <w:numId w:val="33"/>
        </w:numPr>
      </w:pPr>
      <w:r w:rsidRPr="00940EBE">
        <w:rPr>
          <w:b/>
          <w:bCs/>
        </w:rPr>
        <w:t>Improved Efficacy:</w:t>
      </w:r>
      <w:r w:rsidRPr="00940EBE">
        <w:t xml:space="preserve"> Adding cyclosporine, chloroquine, hydroxychloroquine, </w:t>
      </w:r>
      <w:proofErr w:type="spellStart"/>
      <w:r w:rsidRPr="00940EBE">
        <w:t>leflunomide</w:t>
      </w:r>
      <w:proofErr w:type="spellEnd"/>
      <w:r w:rsidRPr="00940EBE">
        <w:t xml:space="preserve">, infliximab, </w:t>
      </w:r>
      <w:proofErr w:type="spellStart"/>
      <w:r w:rsidRPr="00940EBE">
        <w:t>adalimumab</w:t>
      </w:r>
      <w:proofErr w:type="spellEnd"/>
      <w:r w:rsidRPr="00940EBE">
        <w:t xml:space="preserve">, rituximab, or </w:t>
      </w:r>
      <w:proofErr w:type="spellStart"/>
      <w:r w:rsidRPr="00940EBE">
        <w:t>etanercept</w:t>
      </w:r>
      <w:proofErr w:type="spellEnd"/>
      <w:r w:rsidRPr="00940EBE">
        <w:t xml:space="preserve"> to methotrexate has "all shown improved efficacy."</w:t>
      </w:r>
    </w:p>
    <w:p w:rsidR="00940EBE" w:rsidRPr="00940EBE" w:rsidRDefault="00940EBE" w:rsidP="00940EBE">
      <w:pPr>
        <w:numPr>
          <w:ilvl w:val="0"/>
          <w:numId w:val="33"/>
        </w:numPr>
      </w:pPr>
      <w:r w:rsidRPr="00940EBE">
        <w:rPr>
          <w:b/>
          <w:bCs/>
        </w:rPr>
        <w:t>Triple Therapy:</w:t>
      </w:r>
      <w:r w:rsidRPr="00940EBE">
        <w:t xml:space="preserve"> "Triple therapy with methotrexate, sulfasalazine, and hydroxychloroquine appears to be as effective as </w:t>
      </w:r>
      <w:proofErr w:type="spellStart"/>
      <w:r w:rsidRPr="00940EBE">
        <w:t>etanercept</w:t>
      </w:r>
      <w:proofErr w:type="spellEnd"/>
      <w:r w:rsidRPr="00940EBE">
        <w:t xml:space="preserve"> and methotrexate."</w:t>
      </w:r>
    </w:p>
    <w:p w:rsidR="00940EBE" w:rsidRPr="00940EBE" w:rsidRDefault="00940EBE" w:rsidP="00940EBE">
      <w:pPr>
        <w:numPr>
          <w:ilvl w:val="0"/>
          <w:numId w:val="33"/>
        </w:numPr>
      </w:pPr>
      <w:r w:rsidRPr="00940EBE">
        <w:rPr>
          <w:b/>
          <w:bCs/>
        </w:rPr>
        <w:t>Toxicity:</w:t>
      </w:r>
      <w:r w:rsidRPr="00940EBE">
        <w:t xml:space="preserve"> "While it might be anticipated that combination therapy could result in more toxicity, this is often not the case."</w:t>
      </w:r>
    </w:p>
    <w:p w:rsidR="00940EBE" w:rsidRPr="00940EBE" w:rsidRDefault="00940EBE" w:rsidP="008E1397">
      <w:pPr>
        <w:pStyle w:val="Heading2"/>
      </w:pPr>
      <w:r w:rsidRPr="00940EBE">
        <w:t>III. Adjunctive Therapies</w:t>
      </w:r>
    </w:p>
    <w:p w:rsidR="00940EBE" w:rsidRPr="00940EBE" w:rsidRDefault="00940EBE" w:rsidP="008E1397">
      <w:pPr>
        <w:pStyle w:val="Heading3"/>
      </w:pPr>
      <w:r w:rsidRPr="00940EBE">
        <w:t>A. Glucocorticoid Drugs (Corticosteroids)</w:t>
      </w:r>
    </w:p>
    <w:p w:rsidR="00940EBE" w:rsidRPr="00940EBE" w:rsidRDefault="00940EBE" w:rsidP="00940EBE">
      <w:pPr>
        <w:numPr>
          <w:ilvl w:val="0"/>
          <w:numId w:val="34"/>
        </w:numPr>
      </w:pPr>
      <w:r w:rsidRPr="00940EBE">
        <w:rPr>
          <w:b/>
          <w:bCs/>
        </w:rPr>
        <w:t>Indications:</w:t>
      </w:r>
      <w:r w:rsidRPr="00940EBE">
        <w:t xml:space="preserve"> Used in "60–70% of RA patients" for prompt and dramatic effects, capable of "slowing the appearance of new bone erosions." Administered for serious extra-articular manifestations (pericarditis, eye involvement) or during exacerbations. Intra-articular injections are preferred for localized symptoms.</w:t>
      </w:r>
    </w:p>
    <w:p w:rsidR="00940EBE" w:rsidRPr="00940EBE" w:rsidRDefault="00940EBE" w:rsidP="00940EBE">
      <w:pPr>
        <w:numPr>
          <w:ilvl w:val="0"/>
          <w:numId w:val="34"/>
        </w:numPr>
      </w:pPr>
      <w:r w:rsidRPr="00940EBE">
        <w:rPr>
          <w:b/>
          <w:bCs/>
        </w:rPr>
        <w:t>Dosage:</w:t>
      </w:r>
      <w:r w:rsidRPr="00940EBE">
        <w:t xml:space="preserve"> For long-term therapy, dosage should not exceed 7.5 mg prednisone daily. Low doses (3-5 mg prednisone) of delayed-release formulations can target early morning stiffness/pain by decreasing circadian inflammatory cytokines.</w:t>
      </w:r>
    </w:p>
    <w:p w:rsidR="00940EBE" w:rsidRPr="00940EBE" w:rsidRDefault="00940EBE" w:rsidP="00940EBE">
      <w:pPr>
        <w:numPr>
          <w:ilvl w:val="0"/>
          <w:numId w:val="34"/>
        </w:numPr>
      </w:pPr>
      <w:r w:rsidRPr="00940EBE">
        <w:rPr>
          <w:b/>
          <w:bCs/>
        </w:rPr>
        <w:t>Adverse Effects:</w:t>
      </w:r>
      <w:r w:rsidRPr="00940EBE">
        <w:t xml:space="preserve"> "Prolonged use...leads to serious and disabling toxic effects." Many occur even at doses below 7.5 mg daily.</w:t>
      </w:r>
    </w:p>
    <w:p w:rsidR="00940EBE" w:rsidRPr="00940EBE" w:rsidRDefault="00940EBE" w:rsidP="008E1397">
      <w:pPr>
        <w:pStyle w:val="Heading3"/>
      </w:pPr>
      <w:r w:rsidRPr="00940EBE">
        <w:t>B. Other Analgesics</w:t>
      </w:r>
    </w:p>
    <w:p w:rsidR="00940EBE" w:rsidRPr="00940EBE" w:rsidRDefault="008E1397" w:rsidP="008E1397">
      <w:pPr>
        <w:pStyle w:val="Heading4"/>
        <w:spacing w:line="360" w:lineRule="auto"/>
      </w:pPr>
      <w:r>
        <w:t>Acetaminophen</w:t>
      </w:r>
    </w:p>
    <w:p w:rsidR="00940EBE" w:rsidRPr="00940EBE" w:rsidRDefault="00940EBE" w:rsidP="00940EBE">
      <w:pPr>
        <w:numPr>
          <w:ilvl w:val="0"/>
          <w:numId w:val="36"/>
        </w:numPr>
      </w:pPr>
      <w:r w:rsidRPr="00940EBE">
        <w:rPr>
          <w:b/>
          <w:bCs/>
        </w:rPr>
        <w:t>Mechanism of Action:</w:t>
      </w:r>
      <w:r w:rsidRPr="00940EBE">
        <w:t xml:space="preserve"> Weak COX-1 and COX-2 inhibitor in peripheral tissues; lacks significant anti-inflammatory effects.</w:t>
      </w:r>
    </w:p>
    <w:p w:rsidR="00940EBE" w:rsidRPr="00940EBE" w:rsidRDefault="00940EBE" w:rsidP="00940EBE">
      <w:pPr>
        <w:numPr>
          <w:ilvl w:val="0"/>
          <w:numId w:val="36"/>
        </w:numPr>
      </w:pPr>
      <w:r w:rsidRPr="00940EBE">
        <w:rPr>
          <w:b/>
          <w:bCs/>
        </w:rPr>
        <w:t>Indications:</w:t>
      </w:r>
      <w:r w:rsidRPr="00940EBE">
        <w:t xml:space="preserve"> Useful for "mild to moderate pain" (headache, myalgia) when anti-inflammatory effect is not needed. Preferred for patients allergic to aspirin or with peptic ulcer/bronchospasm issues. "Inadequate therapy for inflammatory conditions such as RA."</w:t>
      </w:r>
    </w:p>
    <w:p w:rsidR="00940EBE" w:rsidRPr="00940EBE" w:rsidRDefault="00940EBE" w:rsidP="00940EBE">
      <w:pPr>
        <w:numPr>
          <w:ilvl w:val="0"/>
          <w:numId w:val="36"/>
        </w:numPr>
      </w:pPr>
      <w:r w:rsidRPr="00940EBE">
        <w:rPr>
          <w:b/>
          <w:bCs/>
        </w:rPr>
        <w:t>Adverse Effects:</w:t>
      </w:r>
      <w:r w:rsidRPr="00940EBE">
        <w:t xml:space="preserve"> Mild reversible increase in hepatic enzymes at therapeutic doses. Large doses can cause "severe hepatotoxicity with </w:t>
      </w:r>
      <w:proofErr w:type="spellStart"/>
      <w:r w:rsidRPr="00940EBE">
        <w:t>centrilobular</w:t>
      </w:r>
      <w:proofErr w:type="spellEnd"/>
      <w:r w:rsidRPr="00940EBE">
        <w:t xml:space="preserve"> necrosis" and acute renal tubular necrosis. Max dose: 4 g/day. Alcoholism contraindicates this dose.</w:t>
      </w:r>
    </w:p>
    <w:p w:rsidR="00940EBE" w:rsidRPr="00940EBE" w:rsidRDefault="00940EBE" w:rsidP="008E1397">
      <w:pPr>
        <w:pStyle w:val="Heading4"/>
        <w:spacing w:line="360" w:lineRule="auto"/>
      </w:pPr>
      <w:r w:rsidRPr="00940EBE">
        <w:t>Ketor</w:t>
      </w:r>
      <w:r w:rsidR="008E1397">
        <w:t>olac</w:t>
      </w:r>
    </w:p>
    <w:p w:rsidR="00940EBE" w:rsidRPr="00940EBE" w:rsidRDefault="00940EBE" w:rsidP="00940EBE">
      <w:pPr>
        <w:numPr>
          <w:ilvl w:val="0"/>
          <w:numId w:val="38"/>
        </w:numPr>
      </w:pPr>
      <w:r w:rsidRPr="00940EBE">
        <w:rPr>
          <w:b/>
          <w:bCs/>
        </w:rPr>
        <w:t>Class:</w:t>
      </w:r>
      <w:r w:rsidRPr="00940EBE">
        <w:t xml:space="preserve"> NSAID (Nonsteroidal Anti-inflammatory Drug).</w:t>
      </w:r>
    </w:p>
    <w:p w:rsidR="00940EBE" w:rsidRPr="00940EBE" w:rsidRDefault="00940EBE" w:rsidP="00940EBE">
      <w:pPr>
        <w:numPr>
          <w:ilvl w:val="0"/>
          <w:numId w:val="38"/>
        </w:numPr>
      </w:pPr>
      <w:r w:rsidRPr="00940EBE">
        <w:rPr>
          <w:b/>
          <w:bCs/>
        </w:rPr>
        <w:t>Indications:</w:t>
      </w:r>
      <w:r w:rsidRPr="00940EBE">
        <w:t xml:space="preserve"> Short-term analgesic (not longer than 1 week), mainly for mild to moderate postsurgical pain. Can reduce opioid requirements.</w:t>
      </w:r>
    </w:p>
    <w:p w:rsidR="00940EBE" w:rsidRPr="00940EBE" w:rsidRDefault="00940EBE" w:rsidP="00940EBE">
      <w:pPr>
        <w:numPr>
          <w:ilvl w:val="0"/>
          <w:numId w:val="38"/>
        </w:numPr>
      </w:pPr>
      <w:r w:rsidRPr="00940EBE">
        <w:rPr>
          <w:b/>
          <w:bCs/>
        </w:rPr>
        <w:t>Adverse Effects:</w:t>
      </w:r>
      <w:r w:rsidRPr="00940EBE">
        <w:t xml:space="preserve"> Similar to other NSAIDs, but renal toxicity is more common with chronic use.</w:t>
      </w:r>
    </w:p>
    <w:p w:rsidR="00940EBE" w:rsidRPr="00940EBE" w:rsidRDefault="008E1397" w:rsidP="008E1397">
      <w:pPr>
        <w:pStyle w:val="Heading4"/>
        <w:spacing w:line="360" w:lineRule="auto"/>
      </w:pPr>
      <w:bookmarkStart w:id="0" w:name="_GoBack"/>
      <w:r>
        <w:t>Tramadol</w:t>
      </w:r>
    </w:p>
    <w:bookmarkEnd w:id="0"/>
    <w:p w:rsidR="00940EBE" w:rsidRPr="00940EBE" w:rsidRDefault="00940EBE" w:rsidP="00940EBE">
      <w:pPr>
        <w:numPr>
          <w:ilvl w:val="0"/>
          <w:numId w:val="40"/>
        </w:numPr>
      </w:pPr>
      <w:r w:rsidRPr="00940EBE">
        <w:rPr>
          <w:b/>
          <w:bCs/>
        </w:rPr>
        <w:t>Class:</w:t>
      </w:r>
      <w:r w:rsidRPr="00940EBE">
        <w:t xml:space="preserve"> Centrally acting synthetic analgesic, structurally related to opioids.</w:t>
      </w:r>
    </w:p>
    <w:p w:rsidR="00940EBE" w:rsidRPr="00940EBE" w:rsidRDefault="00940EBE" w:rsidP="00940EBE">
      <w:pPr>
        <w:numPr>
          <w:ilvl w:val="0"/>
          <w:numId w:val="40"/>
        </w:numPr>
      </w:pPr>
      <w:r w:rsidRPr="00940EBE">
        <w:rPr>
          <w:b/>
          <w:bCs/>
        </w:rPr>
        <w:t>Mechanism of Action:</w:t>
      </w:r>
      <w:r w:rsidRPr="00940EBE">
        <w:t xml:space="preserve"> Involves both </w:t>
      </w:r>
      <w:proofErr w:type="spellStart"/>
      <w:r w:rsidRPr="00940EBE">
        <w:t>nonopioid</w:t>
      </w:r>
      <w:proofErr w:type="spellEnd"/>
      <w:r w:rsidRPr="00940EBE">
        <w:t xml:space="preserve"> and opioid receptors, enhancing 5-HT release and inhibiting norepinephrine and 5-HT reuptake.</w:t>
      </w:r>
    </w:p>
    <w:p w:rsidR="00940EBE" w:rsidRPr="00940EBE" w:rsidRDefault="00940EBE" w:rsidP="00940EBE">
      <w:pPr>
        <w:numPr>
          <w:ilvl w:val="0"/>
          <w:numId w:val="40"/>
        </w:numPr>
      </w:pPr>
      <w:r w:rsidRPr="00940EBE">
        <w:rPr>
          <w:b/>
          <w:bCs/>
        </w:rPr>
        <w:t>Effects:</w:t>
      </w:r>
      <w:r w:rsidRPr="00940EBE">
        <w:t xml:space="preserve"> "Does not have significant anti-inflammatory effects."</w:t>
      </w:r>
    </w:p>
    <w:p w:rsidR="000D55A9" w:rsidRDefault="000D55A9" w:rsidP="00940EBE">
      <w:pPr>
        <w:ind w:left="0" w:firstLine="0"/>
      </w:pPr>
    </w:p>
    <w:sectPr w:rsidR="000D55A9" w:rsidSect="00F0701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01146"/>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6C5"/>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14AE7"/>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6B3"/>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74C80"/>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F3499"/>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F6C68"/>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E6AA1"/>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AA1331"/>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54A67"/>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36539"/>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456BF"/>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5608D"/>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86251"/>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451AB"/>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CC6F98"/>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A31DD"/>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776C4"/>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37A4E"/>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5C2921"/>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24FAF"/>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0503A"/>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63CF4"/>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177DD"/>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73115"/>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B6CD2"/>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77A52"/>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9B2D3D"/>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C1724"/>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347F8"/>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35009"/>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E1A6D"/>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78646E"/>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D3BA3"/>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D0DE9"/>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A49CB"/>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2B49B6"/>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36185"/>
    <w:multiLevelType w:val="multilevel"/>
    <w:tmpl w:val="B7A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EC2EC3"/>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F7D97"/>
    <w:multiLevelType w:val="multilevel"/>
    <w:tmpl w:val="BD4E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25"/>
  </w:num>
  <w:num w:numId="3">
    <w:abstractNumId w:val="6"/>
  </w:num>
  <w:num w:numId="4">
    <w:abstractNumId w:val="5"/>
  </w:num>
  <w:num w:numId="5">
    <w:abstractNumId w:val="1"/>
  </w:num>
  <w:num w:numId="6">
    <w:abstractNumId w:val="34"/>
  </w:num>
  <w:num w:numId="7">
    <w:abstractNumId w:val="24"/>
  </w:num>
  <w:num w:numId="8">
    <w:abstractNumId w:val="17"/>
  </w:num>
  <w:num w:numId="9">
    <w:abstractNumId w:val="3"/>
  </w:num>
  <w:num w:numId="10">
    <w:abstractNumId w:val="32"/>
  </w:num>
  <w:num w:numId="11">
    <w:abstractNumId w:val="11"/>
  </w:num>
  <w:num w:numId="12">
    <w:abstractNumId w:val="8"/>
  </w:num>
  <w:num w:numId="13">
    <w:abstractNumId w:val="38"/>
  </w:num>
  <w:num w:numId="14">
    <w:abstractNumId w:val="15"/>
  </w:num>
  <w:num w:numId="15">
    <w:abstractNumId w:val="31"/>
  </w:num>
  <w:num w:numId="16">
    <w:abstractNumId w:val="37"/>
  </w:num>
  <w:num w:numId="17">
    <w:abstractNumId w:val="33"/>
  </w:num>
  <w:num w:numId="18">
    <w:abstractNumId w:val="14"/>
  </w:num>
  <w:num w:numId="19">
    <w:abstractNumId w:val="30"/>
  </w:num>
  <w:num w:numId="20">
    <w:abstractNumId w:val="18"/>
  </w:num>
  <w:num w:numId="21">
    <w:abstractNumId w:val="23"/>
  </w:num>
  <w:num w:numId="22">
    <w:abstractNumId w:val="12"/>
  </w:num>
  <w:num w:numId="23">
    <w:abstractNumId w:val="27"/>
  </w:num>
  <w:num w:numId="24">
    <w:abstractNumId w:val="22"/>
  </w:num>
  <w:num w:numId="25">
    <w:abstractNumId w:val="13"/>
  </w:num>
  <w:num w:numId="26">
    <w:abstractNumId w:val="7"/>
  </w:num>
  <w:num w:numId="27">
    <w:abstractNumId w:val="28"/>
  </w:num>
  <w:num w:numId="28">
    <w:abstractNumId w:val="35"/>
  </w:num>
  <w:num w:numId="29">
    <w:abstractNumId w:val="21"/>
  </w:num>
  <w:num w:numId="30">
    <w:abstractNumId w:val="4"/>
  </w:num>
  <w:num w:numId="31">
    <w:abstractNumId w:val="2"/>
  </w:num>
  <w:num w:numId="32">
    <w:abstractNumId w:val="16"/>
  </w:num>
  <w:num w:numId="33">
    <w:abstractNumId w:val="10"/>
  </w:num>
  <w:num w:numId="34">
    <w:abstractNumId w:val="36"/>
  </w:num>
  <w:num w:numId="35">
    <w:abstractNumId w:val="9"/>
  </w:num>
  <w:num w:numId="36">
    <w:abstractNumId w:val="0"/>
  </w:num>
  <w:num w:numId="37">
    <w:abstractNumId w:val="26"/>
  </w:num>
  <w:num w:numId="38">
    <w:abstractNumId w:val="29"/>
  </w:num>
  <w:num w:numId="39">
    <w:abstractNumId w:val="20"/>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EBE"/>
    <w:rsid w:val="0008564A"/>
    <w:rsid w:val="00090A43"/>
    <w:rsid w:val="000D55A9"/>
    <w:rsid w:val="001F4DCB"/>
    <w:rsid w:val="00462DB1"/>
    <w:rsid w:val="004C4837"/>
    <w:rsid w:val="00503184"/>
    <w:rsid w:val="00725EEF"/>
    <w:rsid w:val="008E1397"/>
    <w:rsid w:val="00940EBE"/>
    <w:rsid w:val="00AA7980"/>
    <w:rsid w:val="00B317FA"/>
    <w:rsid w:val="00BA6C0C"/>
    <w:rsid w:val="00C733F9"/>
    <w:rsid w:val="00CD4518"/>
    <w:rsid w:val="00FB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B603"/>
  <w15:chartTrackingRefBased/>
  <w15:docId w15:val="{02E749CB-F104-482A-BCCC-E76E17B9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249F6-2342-4CD2-A10E-42A3719E8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8</cp:revision>
  <dcterms:created xsi:type="dcterms:W3CDTF">2025-07-29T12:26:00Z</dcterms:created>
  <dcterms:modified xsi:type="dcterms:W3CDTF">2026-09-15T12:17:00Z</dcterms:modified>
</cp:coreProperties>
</file>