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F3E" w:rsidRPr="00FF1DE3" w:rsidRDefault="00FF1DE3" w:rsidP="008C188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Roboto Black" w:eastAsia="Times New Roman" w:hAnsi="Roboto Black" w:cs="Calibri"/>
          <w:b/>
          <w:bCs/>
          <w:noProof/>
          <w:color w:val="222A35" w:themeColor="text2" w:themeShade="80"/>
          <w:sz w:val="40"/>
          <w:szCs w:val="40"/>
          <w:lang w:eastAsia="pt-BR"/>
        </w:rPr>
        <w:drawing>
          <wp:inline distT="0" distB="0" distL="0" distR="0">
            <wp:extent cx="523875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F3E" w:rsidRPr="00FF1DE3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INSTRU</w:t>
      </w:r>
      <w:r w:rsidR="00082F3E" w:rsidRPr="00FF1DE3">
        <w:rPr>
          <w:rFonts w:ascii="Roboto Black" w:eastAsia="Times New Roman" w:hAnsi="Roboto Black" w:cs="Cambria"/>
          <w:b/>
          <w:bCs/>
          <w:color w:val="222A35" w:themeColor="text2" w:themeShade="80"/>
          <w:sz w:val="40"/>
          <w:szCs w:val="40"/>
          <w:lang w:eastAsia="pt-BR"/>
        </w:rPr>
        <w:t>ÇÕ</w:t>
      </w:r>
      <w:r w:rsidR="00082F3E" w:rsidRPr="00FF1DE3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 xml:space="preserve">ES DA MODALIDADE </w:t>
      </w:r>
      <w:bookmarkStart w:id="0" w:name="_GoBack"/>
      <w:proofErr w:type="spellStart"/>
      <w:r w:rsidR="00082F3E" w:rsidRPr="00FF1DE3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S</w:t>
      </w:r>
      <w:r w:rsidR="008C188A" w:rsidRPr="00FF1DE3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umobot</w:t>
      </w:r>
      <w:bookmarkEnd w:id="0"/>
      <w:proofErr w:type="spellEnd"/>
    </w:p>
    <w:p w:rsidR="00F746FE" w:rsidRPr="00FF1DE3" w:rsidRDefault="00F746F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Introdução</w:t>
      </w:r>
    </w:p>
    <w:p w:rsidR="00082F3E" w:rsidRPr="00FF1DE3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Nome da Modalidade: </w:t>
      </w: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</w:t>
      </w:r>
      <w:r w:rsidR="008C188A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umô de Robô</w:t>
      </w:r>
    </w:p>
    <w:p w:rsidR="00082F3E" w:rsidRPr="00FF1DE3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Número de Robôs por Partida: </w:t>
      </w:r>
      <w:r w:rsidR="008C188A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Dois</w:t>
      </w:r>
    </w:p>
    <w:p w:rsidR="00082F3E" w:rsidRPr="00FF1DE3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Duração da Partida: </w:t>
      </w:r>
      <w:r w:rsidR="008C188A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3 rodadas de 60 segundos</w:t>
      </w:r>
    </w:p>
    <w:p w:rsidR="00082F3E" w:rsidRPr="00FF1DE3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Especificações de Controle: </w:t>
      </w: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Autônomo</w:t>
      </w: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Objetivo Geral</w:t>
      </w:r>
    </w:p>
    <w:p w:rsidR="00082F3E" w:rsidRPr="00FF1DE3" w:rsidRDefault="00082F3E" w:rsidP="00DE2F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O objetivo geral da modalidade </w:t>
      </w: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“S</w:t>
      </w:r>
      <w:r w:rsidR="008C188A"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umô </w:t>
      </w: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de </w:t>
      </w:r>
      <w:r w:rsidR="008C188A"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Robô</w:t>
      </w: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”</w:t>
      </w: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é estimular a inserção de novos usuários em competições de robótica a partir da utilização de conceitos de básicos de eletrônica e programação.</w:t>
      </w: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Desafio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Na categoria Sumô o objetivo empurrar o robô adversário para fora do círculo marcado.</w:t>
      </w:r>
    </w:p>
    <w:p w:rsidR="00374FA8" w:rsidRPr="00FF1DE3" w:rsidRDefault="00374FA8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Dimensões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robô lutador pode ter até três quilos (3 kg) e comprimento e largura iguais ou inferior a 20 centímetros.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Robôs das classes autônomas não deverão começar a operar antes de período mínimo de 5 (cinco) segundos após a comando dado por um membro da equipe. Os robôs deverão ter nomes, para registro, que serão afixados nos corpos dos robôs de forma a possibilitarem a fácil identificação destes pelos espectadores e juízes.</w:t>
      </w: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Regras da competição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Cada partida será composta de três rodadas de 60 segundos cada, entre dois robôs.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vencedor de cada partida vai competir contra os vencedores das outras partidas, até que um robô é determinado para ser o grande campeão.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Danos e destruição poderão ser inevitáveis, não incentivamos, e os robôs que propositalmente tentam arruinar a sua concorrência poderá ser desclassificado da competição.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O robô lutador precisa ter três quilos, comprimento igual ou inferior a 20 centímetros e não pode, de forma alguma, ter dispositivos ativos, como </w:t>
      </w: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lastRenderedPageBreak/>
        <w:t>braços que dão marteladas, serras, sendo que o único movimento permitido é para trás, para frente e para os lados.</w:t>
      </w: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Pontuação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proofErr w:type="spellStart"/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Yukô</w:t>
      </w:r>
      <w:proofErr w:type="spellEnd"/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(ponto na rodada) é quando um robô legalmente forçar o corpo do robô oponente a tocar o espaço fora do Dojô, incluindo a própria lateral do ringue ou quando o robô adversário tocar o espaço externo ao Dojô por si mesmo o primeiro robô que ganhar dois rounds acaba a partida e ele ganha a rodada.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Se nenhum robô ganhar a rodada, o juiz vai escolher um vencedor, com base em algo extravagante e / ou aleatório, provavelmente no estilo do robô.</w:t>
      </w: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Restrições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Dispositivos para interferência, tais como sistemas de </w:t>
      </w:r>
      <w:proofErr w:type="spellStart"/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LEDs</w:t>
      </w:r>
      <w:proofErr w:type="spellEnd"/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infravermelhos (IR) com intenção de saturar os sensores dos oponentes, não são permitidos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Peças que possam quebrar ou danificar o ringue não são permitidas. Não utilize peças que tenham intenção de danificar o robô adversário ou seu operador. Impactos e colisões normais não serão considerados 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como danos intencionais.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Dispositivos que possam armazenar líquido, pó, gás ou outras substâncias com intenção de lançá-las 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no oponente não são permitidos.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Nenhum dispositivo inflamável será permitido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Dispositivos que lancem quaisquer objetos no oponente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não são permitidos.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Substâncias para melhorar a tração não são permitidas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Todas as quinas, incluindo, 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porém,</w:t>
      </w: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não limitado, a pá frontal, não podem ser afiadas o suficiente para arranhar ou danificar o ringue, outros robôs ou membros das equipes. Os juízes da competição podem pedir para que quinas avaliadas como muito afiadas sejam cober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tas por fita adesiva ou limadas.</w:t>
      </w: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374FA8" w:rsidRPr="00FF1DE3" w:rsidRDefault="00374FA8" w:rsidP="00374FA8">
      <w:p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Objeções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Nenhuma objeção deverá ser declara</w:t>
      </w:r>
      <w:r w:rsidR="00F746FE"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da contra a decisão dos juízes.</w:t>
      </w:r>
    </w:p>
    <w:p w:rsidR="00374FA8" w:rsidRPr="00FF1DE3" w:rsidRDefault="00374FA8" w:rsidP="00374FA8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líder de uma equipe pode apresentar objeções aos organizadores do evento antes do fim da partida, se houver dúvidas quanto à correta aplicação dessas regras. Caso não haja nenhum membro da organização do evento presente, as objeções poderão ser apresentadas aos juízes antes do fim da partida.</w:t>
      </w: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FF1DE3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FF1DE3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Referências</w:t>
      </w:r>
    </w:p>
    <w:p w:rsidR="00C43141" w:rsidRPr="00FF1DE3" w:rsidRDefault="00082F3E" w:rsidP="00DE2F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Roboto" w:hAnsi="Roboto"/>
          <w:color w:val="222A35" w:themeColor="text2" w:themeShade="80"/>
        </w:rPr>
      </w:pPr>
      <w:r w:rsidRPr="00FF1DE3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OBR. Olimpíada Brasileira de Robótica Regras e Instruções Provas Regionais / Estaduais Modalidade Prática. [S. l.], 2017.</w:t>
      </w:r>
    </w:p>
    <w:sectPr w:rsidR="00C43141" w:rsidRPr="00FF1DE3" w:rsidSect="00DE2F15">
      <w:pgSz w:w="11906" w:h="16838"/>
      <w:pgMar w:top="567" w:right="1701" w:bottom="993" w:left="1701" w:header="708" w:footer="708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1.5pt;height:93pt" o:bullet="t">
        <v:imagedata r:id="rId1" o:title="ícone"/>
      </v:shape>
    </w:pict>
  </w:numPicBullet>
  <w:abstractNum w:abstractNumId="0" w15:restartNumberingAfterBreak="0">
    <w:nsid w:val="00764CAB"/>
    <w:multiLevelType w:val="hybridMultilevel"/>
    <w:tmpl w:val="F2DA1F60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56CE"/>
    <w:multiLevelType w:val="multilevel"/>
    <w:tmpl w:val="BC3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308C"/>
    <w:multiLevelType w:val="hybridMultilevel"/>
    <w:tmpl w:val="34B2D872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990"/>
    <w:multiLevelType w:val="hybridMultilevel"/>
    <w:tmpl w:val="E85A7E7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61D3"/>
    <w:multiLevelType w:val="multilevel"/>
    <w:tmpl w:val="2AC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21649"/>
    <w:multiLevelType w:val="hybridMultilevel"/>
    <w:tmpl w:val="311A2C4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3E"/>
    <w:rsid w:val="00082F3E"/>
    <w:rsid w:val="000835D2"/>
    <w:rsid w:val="002F7209"/>
    <w:rsid w:val="00374FA8"/>
    <w:rsid w:val="00704664"/>
    <w:rsid w:val="00863736"/>
    <w:rsid w:val="008C188A"/>
    <w:rsid w:val="00DE2F15"/>
    <w:rsid w:val="00F746FE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62ED8-3DA3-4707-A4BA-B1FC0CA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4FA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4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Lucélia</dc:creator>
  <cp:keywords/>
  <dc:description/>
  <cp:lastModifiedBy>faculdade processus</cp:lastModifiedBy>
  <cp:revision>6</cp:revision>
  <dcterms:created xsi:type="dcterms:W3CDTF">2017-10-18T03:06:00Z</dcterms:created>
  <dcterms:modified xsi:type="dcterms:W3CDTF">2017-10-20T12:56:00Z</dcterms:modified>
</cp:coreProperties>
</file>