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ubtitle"/>
      </w:pPr>
      <w:r/>
      <w:bookmarkStart w:id="0" w:name="_Tocqiccurw4e2zf"/>
      <w:r>
        <w:rPr>
          <w:i w:val="false"/>
          <w:color w:val="FF0000"/>
          <w:sz w:val="32"/>
        </w:rPr>
        <w:t xml:space="preserve"> </w:t>
      </w:r>
      <w:r>
        <w:rPr>
          <w:i w:val="false"/>
          <w:color w:val="FF0000"/>
          <w:sz w:val="36"/>
        </w:rPr>
        <w:t>Salesforce Developer - Self Learning  :</w:t>
      </w:r>
      <w:r>
        <w:rPr/>
        <w:t xml:space="preserve">   </w:t>
      </w:r>
      <w:bookmarkEnd w:id="0"/>
      <w:r>
        <w:rPr/>
        <w:t>Complete 85%</w:t>
      </w:r>
    </w:p>
    <w:p>
      <w:pPr>
        <w:numPr>
          <w:ilvl w:val="0"/>
          <w:numId w:val="2"/>
        </w:numPr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Salesforce Fundamentals and User Setup</w:t>
      </w:r>
    </w:p>
    <w:p>
      <w:pPr>
        <w:pStyle w:val="Normal"/>
        <w:numPr>
          <w:ilvl w:val="0"/>
          <w:numId w:val="2"/>
        </w:numPr>
        <w:bidi w:val="false"/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Relationships &amp; ProcessAutomation</w:t>
      </w:r>
      <w:r/>
      <w:bookmarkStart w:id="1" w:name="_Tocvmofry27clpa"/>
      <w:bookmarkEnd w:id="1"/>
    </w:p>
    <w:p>
      <w:pPr>
        <w:pStyle w:val="Normal"/>
        <w:numPr>
          <w:ilvl w:val="0"/>
          <w:numId w:val="2"/>
        </w:numPr>
        <w:bidi w:val="false"/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Flows &amp; Security</w:t>
      </w:r>
      <w:r/>
      <w:bookmarkStart w:id="2" w:name="_Tocw4bq156cy4e7"/>
      <w:bookmarkEnd w:id="2"/>
    </w:p>
    <w:p>
      <w:pPr>
        <w:pStyle w:val="Normal"/>
        <w:numPr>
          <w:ilvl w:val="0"/>
          <w:numId w:val="2"/>
        </w:numPr>
        <w:bidi w:val="false"/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Apex, Testing And Debugging</w:t>
      </w:r>
      <w:r/>
      <w:bookmarkStart w:id="3" w:name="_Tocrrwnkublmukw"/>
      <w:bookmarkEnd w:id="3"/>
    </w:p>
    <w:p>
      <w:pPr>
        <w:pStyle w:val="Normal"/>
        <w:numPr>
          <w:ilvl w:val="0"/>
          <w:numId w:val="2"/>
        </w:numPr>
        <w:bidi w:val="false"/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  <w:t xml:space="preserve">LWC </w:t>
      </w:r>
      <w:r/>
      <w:bookmarkStart w:id="4" w:name="_Toc49dcelau5gjo"/>
      <w:bookmarkEnd w:id="4"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  <w:t>:----- Working</w:t>
      </w:r>
    </w:p>
    <w:p>
      <w:pPr>
        <w:pStyle w:val="Normal"/>
        <w:numPr>
          <w:ilvl w:val="0"/>
          <w:numId w:val="2"/>
        </w:numPr>
        <w:bidi w:val="false"/>
        <w:spacing w:after="0"/>
        <w:ind w:hanging="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  <w:t>Visualforce &amp; Integration</w:t>
      </w:r>
      <w:r/>
      <w:bookmarkStart w:id="5" w:name="_Toc91nfhos563iz"/>
      <w:bookmarkEnd w:id="5"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  <w:t>:------- working</w:t>
      </w: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FF0000"/>
          <w:sz w:val="37"/>
          <w:shd w:fill="FFFFFF" w:val="clear" w:color="auto"/>
        </w:rPr>
        <w:t>Apex Specialist -SuperBadge</w:t>
      </w:r>
      <w:r/>
      <w:bookmarkStart w:id="6" w:name="_Toct7nv909iotwp"/>
      <w:bookmarkEnd w:id="6"/>
      <w:r>
        <w:rPr>
          <w:rFonts w:ascii="Open Sans Semibold" w:eastAsia="Open Sans Semibold" w:hAnsi="Open Sans Semibold" w:cs="Open Sans Semibold"/>
          <w:b w:val="false"/>
          <w:color w:val="FF0000"/>
          <w:sz w:val="37"/>
          <w:shd w:fill="FFFFFF" w:val="clear" w:color="auto"/>
        </w:rPr>
        <w:t xml:space="preserve"> :  </w:t>
      </w:r>
      <w:r>
        <w:rPr>
          <w:rFonts w:ascii="Open Sans Bold" w:eastAsia="Open Sans Bold" w:hAnsi="Open Sans Bold" w:cs="Open Sans Bold"/>
          <w:b w:val="true"/>
          <w:i w:val="true"/>
          <w:color w:themeColor="text1" w:val="000000"/>
          <w:sz w:val="24"/>
          <w:shd w:fill="FFFFFF" w:val="clear" w:color="auto"/>
        </w:rPr>
        <w:t>Completed 95%</w:t>
      </w:r>
    </w:p>
    <w:p>
      <w:pPr>
        <w:numPr>
          <w:ilvl w:val="0"/>
          <w:numId w:val="5"/>
        </w:numPr>
        <w:bidi w:val="false"/>
        <w:spacing w:after="0"/>
        <w:ind w:hanging="360" w:left="720"/>
        <w:rPr/>
      </w:pPr>
      <w:r>
        <w:rPr>
          <w:b w:val="false"/>
        </w:rPr>
        <w:t>Apex Triggers</w:t>
      </w:r>
      <w:r/>
      <w:bookmarkStart w:id="7" w:name="_Tocm4nl5406jnju"/>
      <w:bookmarkEnd w:id="7"/>
    </w:p>
    <w:p>
      <w:pPr>
        <w:numPr>
          <w:ilvl w:val="0"/>
          <w:numId w:val="5"/>
        </w:numPr>
        <w:bidi w:val="false"/>
        <w:spacing w:after="0"/>
        <w:ind w:hanging="360" w:left="720"/>
        <w:rPr>
          <w:b w:val="false"/>
        </w:rPr>
      </w:pPr>
      <w:r>
        <w:rPr>
          <w:rFonts w:ascii="Roboto Semibold" w:eastAsia="Roboto Semibold" w:hAnsi="Roboto Semibold" w:cs="Roboto Semibold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Testing</w:t>
      </w:r>
    </w:p>
    <w:p>
      <w:pPr>
        <w:numPr>
          <w:ilvl w:val="0"/>
          <w:numId w:val="5"/>
        </w:numPr>
        <w:bidi w:val="false"/>
        <w:spacing w:after="0"/>
        <w:ind w:hanging="360" w:left="720"/>
        <w:rPr>
          <w:rFonts w:ascii="Roboto Semibold" w:eastAsia="Roboto Semibold" w:hAnsi="Roboto Semibold" w:cs="Roboto Semibold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Semibold" w:eastAsia="Roboto Semibold" w:hAnsi="Roboto Semibold" w:cs="Roboto Semibold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Asynchronous Apex</w:t>
      </w:r>
    </w:p>
    <w:p>
      <w:pPr>
        <w:pStyle w:val="Normal"/>
        <w:numPr>
          <w:ilvl w:val="0"/>
          <w:numId w:val="5"/>
        </w:numPr>
        <w:bidi w:val="false"/>
        <w:spacing w:after="0"/>
        <w:ind w:hanging="360" w:left="72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  <w:t>Apex Integration Services:-------- working</w:t>
      </w:r>
    </w:p>
    <w:p>
      <w:pPr>
        <w:bidi w:val="false"/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bidi w:val="false"/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FF0000"/>
          <w:sz w:val="36"/>
          <w:shd w:themeFill="background1" w:fill="FFFFFF" w:val="clear" w:color="auto"/>
        </w:rPr>
        <w:t>Process Automation Specialist - SuperBadge</w:t>
      </w:r>
      <w:r/>
      <w:bookmarkStart w:id="8" w:name="_Tocdzj3rfznmet2"/>
      <w:bookmarkEnd w:id="8"/>
      <w:r>
        <w:rPr>
          <w:rFonts w:ascii="Open Sans Semibold" w:eastAsia="Open Sans Semibold" w:hAnsi="Open Sans Semibold" w:cs="Open Sans Semibold"/>
          <w:b w:val="false"/>
          <w:color w:val="FF0000"/>
          <w:sz w:val="36"/>
          <w:shd w:themeFill="background1" w:fill="FFFFFF" w:val="clear" w:color="auto"/>
        </w:rPr>
        <w:t>:</w:t>
      </w:r>
      <w:r>
        <w:rPr>
          <w:rFonts w:ascii="Open Sans Semibold" w:eastAsia="Open Sans Semibold" w:hAnsi="Open Sans Semibold" w:cs="Open Sans Semibold"/>
          <w:b w:val="false"/>
          <w:i w:val="true"/>
          <w:color w:themeColor="text1" w:val="000000"/>
          <w:sz w:val="24"/>
          <w:shd w:themeFill="background1" w:fill="FFFFFF" w:val="clear" w:color="auto"/>
        </w:rPr>
        <w:t>Comp100%</w:t>
      </w:r>
    </w:p>
    <w:p>
      <w:pPr>
        <w:pStyle w:val="Heading3"/>
        <w:numPr>
          <w:ilvl w:val="0"/>
          <w:numId w:val="1"/>
        </w:numPr>
        <w:shd w:fill="FFFFFF" w:val="clear" w:color="auto"/>
        <w:bidi w:val="false"/>
        <w:spacing w:line="192" w:after="0" w:before="240"/>
        <w:ind w:hanging="360" w:left="720"/>
        <w:outlineLvl w:val="2"/>
        <w:rPr>
          <w:sz w:val="24"/>
        </w:rPr>
      </w:pPr>
      <w:r>
        <w:rPr>
          <w:rFonts w:ascii="Open Sans Semibold" w:eastAsia="Open Sans Semibold" w:hAnsi="Open Sans Semibold" w:cs="Open Sans Semibold"/>
          <w:b w:val="false"/>
          <w:color w:val="2D2828"/>
          <w:sz w:val="24"/>
          <w:shd w:fill="FFFFFF" w:val="clear" w:color="auto"/>
        </w:rPr>
        <w:t>Formulas And Validations</w:t>
      </w:r>
      <w:r/>
      <w:bookmarkStart w:id="9" w:name="_Toc0lcd2t44da6p"/>
      <w:bookmarkEnd w:id="9"/>
    </w:p>
    <w:p>
      <w:pPr>
        <w:pStyle w:val="Heading3"/>
        <w:numPr>
          <w:ilvl w:val="0"/>
          <w:numId w:val="1"/>
        </w:numPr>
        <w:shd w:fill="FFFFFF" w:val="clear" w:color="auto"/>
        <w:bidi w:val="false"/>
        <w:spacing w:line="192" w:after="0" w:before="240"/>
        <w:ind w:hanging="360" w:left="720"/>
        <w:outlineLvl w:val="2"/>
        <w:rPr>
          <w:sz w:val="24"/>
        </w:rPr>
      </w:pPr>
      <w:r>
        <w:rPr>
          <w:rFonts w:ascii="Open Sans Semibold" w:eastAsia="Open Sans Semibold" w:hAnsi="Open Sans Semibold" w:cs="Open Sans Semibold"/>
          <w:b w:val="false"/>
          <w:color w:val="2D2828"/>
          <w:sz w:val="24"/>
          <w:shd w:fill="FFFFFF" w:val="clear" w:color="auto"/>
        </w:rPr>
        <w:t>Salesforce Flow</w:t>
      </w:r>
      <w:r/>
      <w:bookmarkStart w:id="10" w:name="_Toc64e7um6ecarm"/>
      <w:bookmarkEnd w:id="10"/>
    </w:p>
    <w:p>
      <w:pPr>
        <w:pStyle w:val="Heading3"/>
        <w:numPr>
          <w:ilvl w:val="0"/>
          <w:numId w:val="1"/>
        </w:numPr>
        <w:shd w:fill="FFFFFF" w:val="clear" w:color="auto"/>
        <w:bidi w:val="false"/>
        <w:spacing w:line="192" w:after="0" w:before="240"/>
        <w:ind w:hanging="360" w:left="72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24"/>
          <w:shd w:fill="FFFFFF" w:val="clear" w:color="auto"/>
        </w:rPr>
        <w:t>Leads &amp; Opportunities For Lightning Experience</w:t>
      </w:r>
      <w:r/>
      <w:bookmarkStart w:id="11" w:name="_Tocrb1wn1j7g0zz"/>
      <w:bookmarkEnd w:id="11"/>
    </w:p>
    <w:p>
      <w:pPr>
        <w:pStyle w:val="Normal"/>
        <w:rPr/>
      </w:pPr>
    </w:p>
    <w:p>
      <w:pPr>
        <w:pStyle w:val="Normal"/>
        <w:rPr/>
      </w:pPr>
    </w:p>
    <w:p>
      <w:pPr>
        <w:rPr/>
      </w:pPr>
    </w:p>
    <w:p>
      <w:pPr>
        <w:rPr/>
      </w:pPr>
    </w:p>
    <w:p>
      <w:pPr>
        <w:rPr/>
      </w:pPr>
      <w:r>
        <w:rPr>
          <w:b w:val="true"/>
          <w:color w:val="FF0000"/>
          <w:sz w:val="48"/>
          <w:shd w:fill="FFFF00" w:val="clear" w:color="auto"/>
        </w:rPr>
        <w:t xml:space="preserve">Screenshots: </w:t>
      </w:r>
    </w:p>
    <w:p>
      <w:pPr>
        <w:pStyle w:val="Normal"/>
        <w:rPr/>
      </w:pPr>
      <w:r>
        <w:drawing>
          <wp:inline distT="0" distR="0" distB="0" distL="0">
            <wp:extent cx="6372225" cy="3998299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FFFF00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0c6e4de-c06b-46c9-8ad3-e4116e99bd7c" w:fontKey="{00000000-0000-0000-0000-000000000000}" w:subsetted="0"/>
  </w:font>
  <w:font w:name="Open Sans Semibold">
    <w:embedRegular r:id="rIdbd5a4127-52c3-421e-a2c5-d8136b1bc9d1" w:fontKey="{00000000-0000-0000-0000-000000000000}" w:subsetted="0"/>
  </w:font>
  <w:font w:name="Open Sans Bold">
    <w:embedBold r:id="rId2d709a9e-ed39-4b2e-a0d9-bebc473cfdbe" w:fontKey="{00000000-0000-0000-0000-000000000000}" w:subsetted="0"/>
  </w:font>
  <w:font w:name="Roboto Semibold">
    <w:embedRegular/>
  </w:font>
  <w:font w:name="Roboto Bold">
    <w:embedBold r:id="rId1418f802-b246-4b1b-bd6f-dac1f0e8dc7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577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50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328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03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957708"/>
  </w:num>
  <w:num w:numId="2">
    <w:abstractNumId w:val="535089"/>
  </w:num>
  <w:num w:numId="3">
    <w:abstractNumId w:val="643284"/>
  </w:num>
  <w:num w:numId="5">
    <w:abstractNumId w:val="150311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418f802-b246-4b1b-bd6f-dac1f0e8dc7f" Target="fonts/robotobold.ttf" Type="http://schemas.openxmlformats.org/officeDocument/2006/relationships/font"/>
<Relationship Id="rId2d709a9e-ed39-4b2e-a0d9-bebc473cfdbe" Target="fonts/opensansbold.ttf" Type="http://schemas.openxmlformats.org/officeDocument/2006/relationships/font"/>
<Relationship Id="rIda0c6e4de-c06b-46c9-8ad3-e4116e99bd7c" Target="fonts/robotoregular.ttf" Type="http://schemas.openxmlformats.org/officeDocument/2006/relationships/font"/>
<Relationship Id="rIdbd5a4127-52c3-421e-a2c5-d8136b1bc9d1" Target="fonts/opensanssemiboldregular.ttf" Type="http://schemas.openxmlformats.org/officeDocument/2006/relationships/font"/>
</Relationships>

</file>

<file path=word/theme/theme1.xml><?xml version="1.0" encoding="utf-8"?>
<a:theme xmlns:a="http://schemas.openxmlformats.org/drawingml/2006/main" name="16530170964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2022-05-20T03:24:56Z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