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76" w:lineRule="auto" w:before="0" w:after="120"/>
        <w:ind w:left="0" w:right="0"/>
      </w:pPr>
    </w:p>
    <w:p>
      <w:pPr>
        <w:autoSpaceDN w:val="0"/>
        <w:autoSpaceDE w:val="0"/>
        <w:widowControl/>
        <w:spacing w:line="276" w:lineRule="auto" w:before="1986" w:after="120"/>
        <w:ind w:left="2126" w:right="0" w:firstLine="0"/>
        <w:jc w:val="left"/>
      </w:pPr>
      <w:r>
        <w:rPr>
          <w:rFonts w:ascii="Calibri" w:hAnsi="Calibri"/>
          <w:color w:val="333333"/>
          <w:sz w:val="22"/>
        </w:rPr>
        <w:t>Université de Jacmel</w:t>
        <w:br/>
        <w:t xml:space="preserve">Département des Sciences Informatiques </w:t>
      </w:r>
    </w:p>
    <w:p>
      <w:pPr>
        <w:autoSpaceDN w:val="0"/>
        <w:autoSpaceDE w:val="0"/>
        <w:widowControl/>
        <w:spacing w:line="276" w:lineRule="auto" w:before="1460" w:after="120"/>
        <w:ind w:left="0" w:right="0" w:firstLine="0"/>
        <w:jc w:val="center"/>
      </w:pPr>
      <w:r>
        <w:rPr>
          <w:rFonts w:ascii="Calibri" w:hAnsi="Calibri" w:eastAsia="Arial,Bold"/>
          <w:b/>
          <w:i w:val="0"/>
          <w:color w:val="333333"/>
          <w:sz w:val="22"/>
        </w:rPr>
        <w:t>ÉTUDE D’OPPORTUNITÉ</w:t>
      </w:r>
    </w:p>
    <w:p>
      <w:pPr>
        <w:autoSpaceDN w:val="0"/>
        <w:autoSpaceDE w:val="0"/>
        <w:widowControl/>
        <w:spacing w:line="276" w:lineRule="auto" w:before="210" w:after="120"/>
        <w:ind w:left="2592" w:right="2592" w:firstLine="0"/>
        <w:jc w:val="center"/>
      </w:pPr>
      <w:r>
        <w:rPr>
          <w:rFonts w:ascii="Calibri" w:hAnsi="Calibri"/>
          <w:color w:val="333333"/>
          <w:sz w:val="22"/>
        </w:rPr>
        <w:t xml:space="preserve">Plateforme de Gestion de Stock Intelligente et de Fidélisation Client (GESIFID) </w:t>
        <w:br/>
        <w:t>« Bâtir l'avenir en toute confiance »</w:t>
      </w:r>
    </w:p>
    <w:p>
      <w:pPr>
        <w:spacing w:line="276" w:lineRule="auto" w:after="120"/>
        <w:sectPr>
          <w:headerReference w:type="default" r:id="rId11"/>
          <w:headerReference w:type="first" r:id="rId12"/>
          <w:headerReference w:type="even" r:id="rId13"/>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Historique des versions </w:t>
      </w:r>
    </w:p>
    <w:tbl>
      <w:tblPr>
        <w:tblW w:type="auto" w:w="0"/>
        <w:tblLayout w:type="fixed"/>
        <w:tblLook w:firstColumn="1" w:firstRow="1" w:lastColumn="0" w:lastRow="0" w:noHBand="0" w:noVBand="1" w:val="04A0"/>
        <w:tblInd w:w="20.0" w:type="dxa"/>
      </w:tblPr>
      <w:tblGrid>
        <w:gridCol w:w="1888"/>
        <w:gridCol w:w="1888"/>
        <w:gridCol w:w="1888"/>
        <w:gridCol w:w="1888"/>
        <w:gridCol w:w="1888"/>
      </w:tblGrid>
      <w:tr>
        <w:trPr>
          <w:trHeight w:hRule="exact" w:val="392"/>
        </w:trPr>
        <w:tc>
          <w:tcPr>
            <w:tcW w:type="dxa" w:w="1198"/>
            <w:tcBorders>
              <w:start w:sz="0.7999999999999545" w:val="single" w:color="#AAAAAA"/>
              <w:top w:sz="0.8000000000000682" w:val="single" w:color="#AAAAAA"/>
              <w:end w:sz="0.7999999999999545"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Version</w:t>
            </w:r>
          </w:p>
        </w:tc>
        <w:tc>
          <w:tcPr>
            <w:tcW w:type="dxa" w:w="1200"/>
            <w:tcBorders>
              <w:start w:sz="0.7999999999999545" w:val="single" w:color="#AAAAAA"/>
              <w:top w:sz="0.8000000000000682" w:val="single" w:color="#AAAAAA"/>
              <w:end w:sz="0.7999999999999545"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2" w:right="0" w:firstLine="0"/>
              <w:jc w:val="center"/>
            </w:pPr>
            <w:r>
              <w:rPr>
                <w:rFonts w:ascii="Calibri" w:hAnsi="Calibri" w:eastAsia="Arial,Bold"/>
                <w:b/>
                <w:i w:val="0"/>
                <w:color w:val="FFFFFF"/>
                <w:sz w:val="20"/>
              </w:rPr>
              <w:t>Phase</w:t>
            </w:r>
          </w:p>
        </w:tc>
        <w:tc>
          <w:tcPr>
            <w:tcW w:type="dxa" w:w="1602"/>
            <w:tcBorders>
              <w:start w:sz="0.7999999999999545" w:val="single" w:color="#AAAAAA"/>
              <w:top w:sz="0.8000000000000682" w:val="single" w:color="#AAAAAA"/>
              <w:end w:sz="1.6000000000003638"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2" w:right="0" w:firstLine="0"/>
              <w:jc w:val="center"/>
            </w:pPr>
            <w:r>
              <w:rPr>
                <w:rFonts w:ascii="Calibri" w:hAnsi="Calibri" w:eastAsia="Arial,Bold"/>
                <w:b/>
                <w:i w:val="0"/>
                <w:color w:val="FFFFFF"/>
                <w:sz w:val="20"/>
              </w:rPr>
              <w:t>Date</w:t>
            </w:r>
          </w:p>
        </w:tc>
        <w:tc>
          <w:tcPr>
            <w:tcW w:type="dxa" w:w="2402"/>
            <w:tcBorders>
              <w:start w:sz="1.6000000000003638" w:val="single" w:color="#AAAAAA"/>
              <w:top w:sz="0.8000000000000682"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18" w:right="0" w:firstLine="0"/>
              <w:jc w:val="center"/>
            </w:pPr>
            <w:r>
              <w:rPr>
                <w:rFonts w:ascii="Calibri" w:hAnsi="Calibri" w:eastAsia="Arial,Bold"/>
                <w:b/>
                <w:i w:val="0"/>
                <w:color w:val="FFFFFF"/>
                <w:sz w:val="20"/>
              </w:rPr>
              <w:t>Auteur / Équipe</w:t>
            </w:r>
          </w:p>
        </w:tc>
        <w:tc>
          <w:tcPr>
            <w:tcW w:type="dxa" w:w="2958"/>
            <w:tcBorders>
              <w:start w:sz="0.8000000000001819" w:val="single" w:color="#AAAAAA"/>
              <w:top w:sz="0.8000000000000682"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18" w:right="0" w:firstLine="0"/>
              <w:jc w:val="center"/>
            </w:pPr>
            <w:r>
              <w:rPr>
                <w:rFonts w:ascii="Calibri" w:hAnsi="Calibri" w:eastAsia="Arial,Bold"/>
                <w:b/>
                <w:i w:val="0"/>
                <w:color w:val="FFFFFF"/>
                <w:sz w:val="20"/>
              </w:rPr>
              <w:t>Description</w:t>
            </w:r>
          </w:p>
        </w:tc>
      </w:tr>
      <w:tr>
        <w:trPr>
          <w:trHeight w:hRule="exact" w:val="582"/>
        </w:trPr>
        <w:tc>
          <w:tcPr>
            <w:tcW w:type="dxa" w:w="1198"/>
            <w:tcBorders>
              <w:start w:sz="0.7999999999999545" w:val="single" w:color="#AAAAAA"/>
              <w:top w:sz="0.7999999999999545" w:val="single" w:color="#AAAAAA"/>
              <w:end w:sz="0.7999999999999545"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4" w:after="0"/>
              <w:ind w:left="120" w:right="0" w:firstLine="0"/>
              <w:jc w:val="left"/>
            </w:pPr>
            <w:r>
              <w:rPr>
                <w:rFonts w:ascii="Calibri" w:hAnsi="Calibri" w:eastAsia="Arial"/>
                <w:b w:val="0"/>
                <w:i w:val="0"/>
                <w:color w:val="333333"/>
                <w:sz w:val="20"/>
              </w:rPr>
              <w:t>1.0</w:t>
            </w:r>
          </w:p>
        </w:tc>
        <w:tc>
          <w:tcPr>
            <w:tcW w:type="dxa" w:w="1200"/>
            <w:tcBorders>
              <w:start w:sz="0.7999999999999545" w:val="single" w:color="#AAAAAA"/>
              <w:top w:sz="0.7999999999999545" w:val="single" w:color="#AAAAAA"/>
              <w:end w:sz="0.7999999999999545"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4" w:after="0"/>
              <w:ind w:left="122" w:right="0" w:firstLine="0"/>
              <w:jc w:val="left"/>
            </w:pPr>
            <w:r>
              <w:rPr>
                <w:rFonts w:ascii="Calibri" w:hAnsi="Calibri" w:eastAsia="Arial"/>
                <w:b w:val="0"/>
                <w:i w:val="0"/>
                <w:color w:val="333333"/>
                <w:sz w:val="20"/>
              </w:rPr>
              <w:t>N/A</w:t>
            </w:r>
          </w:p>
        </w:tc>
        <w:tc>
          <w:tcPr>
            <w:tcW w:type="dxa" w:w="1602"/>
            <w:tcBorders>
              <w:start w:sz="0.7999999999999545" w:val="single" w:color="#AAAAAA"/>
              <w:top w:sz="0.7999999999999545" w:val="single" w:color="#AAAAAA"/>
              <w:end w:sz="1.6000000000003638"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27/05/2026</w:t>
            </w:r>
          </w:p>
        </w:tc>
        <w:tc>
          <w:tcPr>
            <w:tcW w:type="dxa" w:w="2402"/>
            <w:tcBorders>
              <w:start w:sz="1.6000000000003638"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Billy Rolph EXUME  &amp;  Ruth-Jose Jerome</w:t>
            </w:r>
          </w:p>
        </w:tc>
        <w:tc>
          <w:tcPr>
            <w:tcW w:type="dxa" w:w="2958"/>
            <w:tcBorders>
              <w:start w:sz="0.8000000000001819"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Étude d'opportunité initiale pour le système GESIFID.</w:t>
            </w:r>
          </w:p>
        </w:tc>
      </w:tr>
    </w:tbl>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Table des matières </w:t>
      </w:r>
    </w:p>
    <w:p>
      <w:pPr>
        <w:autoSpaceDN w:val="0"/>
        <w:autoSpaceDE w:val="0"/>
        <w:widowControl/>
        <w:spacing w:line="276" w:lineRule="auto" w:before="92" w:after="120"/>
        <w:ind w:left="30" w:right="5040" w:firstLine="0"/>
        <w:jc w:val="left"/>
      </w:pPr>
      <w:r>
        <w:rPr>
          <w:rFonts w:ascii="Calibri" w:hAnsi="Calibri"/>
          <w:color w:val="333333"/>
          <w:sz w:val="22"/>
        </w:rPr>
        <w:t xml:space="preserve">Historique des versions </w:t>
        <w:br/>
        <w:t xml:space="preserve">Table des matières </w:t>
        <w:br/>
        <w:t xml:space="preserve">Liste des tableaux </w:t>
        <w:br/>
        <w:t xml:space="preserve">Liste des acronymes et abréviations </w:t>
        <w:br/>
        <w:t xml:space="preserve">Sommaire de l’étude </w:t>
        <w:br/>
        <w:t xml:space="preserve">1. L’Organisation </w:t>
        <w:br/>
        <w:t xml:space="preserve">2. Contexte du problème </w:t>
        <w:br/>
        <w:t xml:space="preserve">3. Inventaire des problèmes et des besoins </w:t>
        <w:br/>
        <w:t xml:space="preserve">4. Objectifs des changements à réaliser </w:t>
        <w:br/>
        <w:t xml:space="preserve">5. Solutions possibles </w:t>
        <w:br/>
        <w:t xml:space="preserve">6. Bénéfices et coûts de chaque solution </w:t>
        <w:br/>
        <w:t xml:space="preserve">7. Faisabilité et risques technologiques </w:t>
        <w:br/>
        <w:t xml:space="preserve">8. Recommandation finale </w:t>
        <w:br/>
        <w:t xml:space="preserve">9. Mandat pour la suite des travaux </w:t>
        <w:br/>
        <w:t xml:space="preserve">10. Échéancier de livraison de l'équipe projet </w:t>
      </w:r>
    </w:p>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Liste des tableaux </w:t>
      </w:r>
    </w:p>
    <w:p>
      <w:pPr>
        <w:autoSpaceDN w:val="0"/>
        <w:autoSpaceDE w:val="0"/>
        <w:widowControl/>
        <w:spacing w:line="276" w:lineRule="auto" w:before="132" w:after="120"/>
        <w:ind w:left="30" w:right="3888" w:firstLine="0"/>
        <w:jc w:val="left"/>
      </w:pPr>
      <w:r>
        <w:rPr>
          <w:rFonts w:ascii="Calibri" w:hAnsi="Calibri"/>
          <w:color w:val="333333"/>
          <w:sz w:val="22"/>
        </w:rPr>
        <w:t xml:space="preserve">Tableau 1 — Historique des versions </w:t>
        <w:br/>
        <w:t xml:space="preserve">Tableau 2 — Liste des acronymes et abréviations </w:t>
        <w:br/>
        <w:t xml:space="preserve">Tableau 3 — Coûts du comptoir Site A (Cayes-Jacmel) </w:t>
        <w:br/>
        <w:t xml:space="preserve">Tableau 4 — Coûts du comptoir Site B (Non Applicable) </w:t>
        <w:br/>
        <w:t xml:space="preserve">Tableau 5 — Coûts du comptoir Site C (Non Applicable) </w:t>
        <w:br/>
        <w:t xml:space="preserve">Tableau 6 — Coût total des trois sites </w:t>
        <w:br/>
        <w:t xml:space="preserve">Tableau 7 — Coûts des équipements (solutions 2, 3, 4) Tableau 8 — Coûts d’achat des logiciels — Solution 2 Tableau 9 — Coûts d’achat des logiciels — Solution 3 Tableau 10 — Coûts d’achat des logiciels — Solution 4 Tableau 11 — Coûts récurrents annuels par solution Tableau 12 — Bénéfices et coûts — Première année Tableau 13 — Bénéfices et coûts — Deuxième année Tableau 14 — Échéancier de livraison de l'équipe projet </w:t>
      </w:r>
    </w:p>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Liste des acronymes et abréviations </w:t>
      </w:r>
    </w:p>
    <w:tbl>
      <w:tblPr>
        <w:tblW w:type="auto" w:w="0"/>
        <w:tblLayout w:type="fixed"/>
        <w:tblLook w:firstColumn="1" w:firstRow="1" w:lastColumn="0" w:lastRow="0" w:noHBand="0" w:noVBand="1" w:val="04A0"/>
        <w:tblInd w:w="20.0" w:type="dxa"/>
      </w:tblPr>
      <w:tblGrid>
        <w:gridCol w:w="4721"/>
        <w:gridCol w:w="4721"/>
      </w:tblGrid>
      <w:tr>
        <w:trPr>
          <w:trHeight w:hRule="exact" w:val="392"/>
        </w:trPr>
        <w:tc>
          <w:tcPr>
            <w:tcW w:type="dxa" w:w="3000"/>
            <w:tcBorders>
              <w:start w:sz="0.7999999999999545" w:val="single" w:color="#AAAAAA"/>
              <w:top w:sz="0.8000000000000682" w:val="single" w:color="#AAAAAA"/>
              <w:end w:sz="1.59999999999990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Acronyme / Abréviation</w:t>
            </w:r>
          </w:p>
        </w:tc>
        <w:tc>
          <w:tcPr>
            <w:tcW w:type="dxa" w:w="6360"/>
            <w:tcBorders>
              <w:start w:sz="1.599999999999909" w:val="single" w:color="#AAAAAA"/>
              <w:top w:sz="0.8000000000000682"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Définition</w:t>
            </w:r>
          </w:p>
        </w:tc>
      </w:tr>
      <w:tr>
        <w:tc>
          <w:tcPr>
            <w:tcW w:type="dxa" w:w="4721"/>
            <w:tcMar>
              <w:top w:w="80" w:type="dxa"/>
              <w:bottom w:w="80" w:type="dxa"/>
              <w:left w:w="120" w:type="dxa"/>
              <w:right w:w="120" w:type="dxa"/>
            </w:tcMar>
            <w:shd w:val="clear" w:color="auto" w:fill="F4F7F6"/>
          </w:tcPr>
          <w:p>
            <w:r>
              <w:rPr>
                <w:rFonts w:ascii="Calibri" w:hAnsi="Calibri"/>
                <w:color w:val="333333"/>
              </w:rPr>
              <w:t>GESIFID</w:t>
            </w:r>
          </w:p>
        </w:tc>
        <w:tc>
          <w:tcPr>
            <w:tcW w:type="dxa" w:w="4721"/>
            <w:tcMar>
              <w:top w:w="80" w:type="dxa"/>
              <w:bottom w:w="80" w:type="dxa"/>
              <w:left w:w="120" w:type="dxa"/>
              <w:right w:w="120" w:type="dxa"/>
            </w:tcMar>
            <w:shd w:val="clear" w:color="auto" w:fill="F4F7F6"/>
          </w:tcPr>
          <w:p>
            <w:r>
              <w:rPr>
                <w:rFonts w:ascii="Calibri" w:hAnsi="Calibri"/>
                <w:color w:val="333333"/>
              </w:rPr>
              <w:t>Gestion de Stock Intelligente et Fidélisation Client.</w:t>
            </w:r>
          </w:p>
        </w:tc>
      </w:tr>
      <w:tr>
        <w:tc>
          <w:tcPr>
            <w:tcW w:type="dxa" w:w="4721"/>
            <w:tcMar>
              <w:top w:w="80" w:type="dxa"/>
              <w:bottom w:w="80" w:type="dxa"/>
              <w:left w:w="120" w:type="dxa"/>
              <w:right w:w="120" w:type="dxa"/>
            </w:tcMar>
          </w:tcPr>
          <w:p>
            <w:r>
              <w:rPr>
                <w:rFonts w:ascii="Calibri" w:hAnsi="Calibri"/>
                <w:color w:val="333333"/>
              </w:rPr>
              <w:t>SGBD</w:t>
            </w:r>
          </w:p>
        </w:tc>
        <w:tc>
          <w:tcPr>
            <w:tcW w:type="dxa" w:w="4721"/>
            <w:tcMar>
              <w:top w:w="80" w:type="dxa"/>
              <w:bottom w:w="80" w:type="dxa"/>
              <w:left w:w="120" w:type="dxa"/>
              <w:right w:w="120" w:type="dxa"/>
            </w:tcMar>
          </w:tcPr>
          <w:p>
            <w:r>
              <w:rPr>
                <w:rFonts w:ascii="Calibri" w:hAnsi="Calibri"/>
                <w:color w:val="333333"/>
              </w:rPr>
              <w:t>Système de Gestion de Base de Données.</w:t>
            </w:r>
          </w:p>
        </w:tc>
      </w:tr>
      <w:tr>
        <w:tc>
          <w:tcPr>
            <w:tcW w:type="dxa" w:w="4721"/>
            <w:tcMar>
              <w:top w:w="80" w:type="dxa"/>
              <w:bottom w:w="80" w:type="dxa"/>
              <w:left w:w="120" w:type="dxa"/>
              <w:right w:w="120" w:type="dxa"/>
            </w:tcMar>
            <w:shd w:val="clear" w:color="auto" w:fill="F4F7F6"/>
          </w:tcPr>
          <w:p>
            <w:r>
              <w:rPr>
                <w:rFonts w:ascii="Calibri" w:hAnsi="Calibri"/>
                <w:color w:val="333333"/>
              </w:rPr>
              <w:t>HTG</w:t>
            </w:r>
          </w:p>
        </w:tc>
        <w:tc>
          <w:tcPr>
            <w:tcW w:type="dxa" w:w="4721"/>
            <w:tcMar>
              <w:top w:w="80" w:type="dxa"/>
              <w:bottom w:w="80" w:type="dxa"/>
              <w:left w:w="120" w:type="dxa"/>
              <w:right w:w="120" w:type="dxa"/>
            </w:tcMar>
            <w:shd w:val="clear" w:color="auto" w:fill="F4F7F6"/>
          </w:tcPr>
          <w:p>
            <w:r>
              <w:rPr>
                <w:rFonts w:ascii="Calibri" w:hAnsi="Calibri"/>
                <w:color w:val="333333"/>
              </w:rPr>
              <w:t>Gourde Haïtienne (Devise nationale d'Haïti).</w:t>
            </w:r>
          </w:p>
        </w:tc>
      </w:tr>
      <w:tr>
        <w:tc>
          <w:tcPr>
            <w:tcW w:type="dxa" w:w="4721"/>
            <w:tcMar>
              <w:top w:w="80" w:type="dxa"/>
              <w:bottom w:w="80" w:type="dxa"/>
              <w:left w:w="120" w:type="dxa"/>
              <w:right w:w="120" w:type="dxa"/>
            </w:tcMar>
          </w:tcPr>
          <w:p>
            <w:r>
              <w:rPr>
                <w:rFonts w:ascii="Calibri" w:hAnsi="Calibri"/>
                <w:color w:val="333333"/>
              </w:rPr>
              <w:t>TPE</w:t>
            </w:r>
          </w:p>
        </w:tc>
        <w:tc>
          <w:tcPr>
            <w:tcW w:type="dxa" w:w="4721"/>
            <w:tcMar>
              <w:top w:w="80" w:type="dxa"/>
              <w:bottom w:w="80" w:type="dxa"/>
              <w:left w:w="120" w:type="dxa"/>
              <w:right w:w="120" w:type="dxa"/>
            </w:tcMar>
          </w:tcPr>
          <w:p>
            <w:r>
              <w:rPr>
                <w:rFonts w:ascii="Calibri" w:hAnsi="Calibri"/>
                <w:color w:val="333333"/>
              </w:rPr>
              <w:t>Terminal de Point de Vente (Terminal de Paiement Électronique / Point of Sale).</w:t>
            </w:r>
          </w:p>
        </w:tc>
      </w:tr>
      <w:tr>
        <w:tc>
          <w:tcPr>
            <w:tcW w:type="dxa" w:w="4721"/>
            <w:tcMar>
              <w:top w:w="80" w:type="dxa"/>
              <w:bottom w:w="80" w:type="dxa"/>
              <w:left w:w="120" w:type="dxa"/>
              <w:right w:w="120" w:type="dxa"/>
            </w:tcMar>
            <w:shd w:val="clear" w:color="auto" w:fill="F4F7F6"/>
          </w:tcPr>
          <w:p>
            <w:r>
              <w:rPr>
                <w:rFonts w:ascii="Calibri" w:hAnsi="Calibri"/>
                <w:color w:val="333333"/>
              </w:rPr>
              <w:t>ERP</w:t>
            </w:r>
          </w:p>
        </w:tc>
        <w:tc>
          <w:tcPr>
            <w:tcW w:type="dxa" w:w="4721"/>
            <w:tcMar>
              <w:top w:w="80" w:type="dxa"/>
              <w:bottom w:w="80" w:type="dxa"/>
              <w:left w:w="120" w:type="dxa"/>
              <w:right w:w="120" w:type="dxa"/>
            </w:tcMar>
            <w:shd w:val="clear" w:color="auto" w:fill="F4F7F6"/>
          </w:tcPr>
          <w:p>
            <w:r>
              <w:rPr>
                <w:rFonts w:ascii="Calibri" w:hAnsi="Calibri"/>
                <w:color w:val="333333"/>
              </w:rPr>
              <w:t>Enterprise Resource Planning (Progiciel de Gestion Intégré - PGI).</w:t>
            </w:r>
          </w:p>
        </w:tc>
      </w:tr>
      <w:tr>
        <w:tc>
          <w:tcPr>
            <w:tcW w:type="dxa" w:w="4721"/>
            <w:tcMar>
              <w:top w:w="80" w:type="dxa"/>
              <w:bottom w:w="80" w:type="dxa"/>
              <w:left w:w="120" w:type="dxa"/>
              <w:right w:w="120" w:type="dxa"/>
            </w:tcMar>
          </w:tcPr>
          <w:p>
            <w:r>
              <w:rPr>
                <w:rFonts w:ascii="Calibri" w:hAnsi="Calibri"/>
                <w:color w:val="333333"/>
              </w:rPr>
              <w:t>SMART</w:t>
            </w:r>
          </w:p>
        </w:tc>
        <w:tc>
          <w:tcPr>
            <w:tcW w:type="dxa" w:w="4721"/>
            <w:tcMar>
              <w:top w:w="80" w:type="dxa"/>
              <w:bottom w:w="80" w:type="dxa"/>
              <w:left w:w="120" w:type="dxa"/>
              <w:right w:w="120" w:type="dxa"/>
            </w:tcMar>
          </w:tcPr>
          <w:p>
            <w:r>
              <w:rPr>
                <w:rFonts w:ascii="Calibri" w:hAnsi="Calibri"/>
                <w:color w:val="333333"/>
              </w:rPr>
              <w:t>Specific, Measurable, Achievable, Realistic, Time-bound (Objectifs spécifiques, mesurables, atteignables, réalistes et temporellement définis).</w:t>
            </w:r>
          </w:p>
        </w:tc>
      </w:tr>
    </w:tbl>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Sommaire de l’étude </w:t>
      </w:r>
    </w:p>
    <w:p>
      <w:pPr>
        <w:autoSpaceDN w:val="0"/>
        <w:autoSpaceDE w:val="0"/>
        <w:widowControl/>
        <w:spacing w:line="276" w:lineRule="auto" w:before="132" w:after="120"/>
        <w:ind w:left="30" w:right="0" w:firstLine="0"/>
        <w:jc w:val="left"/>
      </w:pPr>
      <w:r>
        <w:rPr>
          <w:rFonts w:ascii="Calibri" w:hAnsi="Calibri"/>
          <w:color w:val="333333"/>
          <w:sz w:val="22"/>
        </w:rPr>
        <w:t xml:space="preserve">Le présent document constitue une étude d’opportunité réalisée pour le compte de Entreprise Rendez-vous. Cette étude vise à identifier les problèmes opérationnels actuels, à analyser les besoins de l’organisation et à proposer des solutions adaptées, en vue d’orienter la décision relative à un investissement technologique. </w:t>
      </w:r>
    </w:p>
    <w:p>
      <w:pPr>
        <w:autoSpaceDN w:val="0"/>
        <w:autoSpaceDE w:val="0"/>
        <w:widowControl/>
        <w:spacing w:line="276" w:lineRule="auto" w:before="80" w:after="120"/>
        <w:ind w:left="30" w:right="432" w:firstLine="0"/>
        <w:jc w:val="left"/>
      </w:pPr>
      <w:r>
        <w:rPr>
          <w:rFonts w:ascii="Calibri" w:hAnsi="Calibri"/>
          <w:color w:val="333333"/>
          <w:sz w:val="22"/>
        </w:rPr>
        <w:t>Le présent document constitue une étude d'opportunité complète réalisée pour le compte de l'Entreprise Rendez-vous. Cette étude vise à identifier les problèmes opérationnels majeurs liés à la gestion manuelle des stocks et de la clientèle, à analyser les besoins de l'organisation et à proposer une solution logicielle sur mesure en vue d'orienter stratégiquement l'investissement technologique de l'entreprise.</w:t>
        <w:br/>
        <w:br/>
        <w:t>Face à la croissance rapide des ventes de matériaux de construction (ciment, fer, peinture, outillage), le système actuel de gestion sur registres papier montre des limites critiques. Afin de pallier ces lacunes, nous recommandons le développement d'une application de bureau moderne en Java, connectée à un système de gestion de base de données (SGBD) robuste et libre de droits, PostgreSQL. Cette solution permettra un suivi en temps réel du stock, l'impression instantanée de mini-fiches de transaction pour les clients et l'automatisation intelligente d'un programme de fidélisation client, garantissant un retour sur investissement optimal dès la première année d'exploitation.</w:t>
      </w:r>
    </w:p>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1. L’Organisation </w:t>
      </w:r>
    </w:p>
    <w:p>
      <w:pPr>
        <w:autoSpaceDN w:val="0"/>
        <w:autoSpaceDE w:val="0"/>
        <w:widowControl/>
        <w:spacing w:line="276" w:lineRule="auto" w:before="8" w:after="120"/>
        <w:ind w:left="30" w:right="0" w:firstLine="0"/>
        <w:jc w:val="left"/>
      </w:pPr>
      <w:r>
        <w:rPr>
          <w:rFonts w:ascii="Calibri" w:hAnsi="Calibri" w:eastAsia="Arial"/>
          <w:b w:val="0"/>
          <w:i w:val="0"/>
          <w:color w:val="333333"/>
          <w:sz w:val="22"/>
        </w:rPr>
        <w:t xml:space="preserve">localisation des sites. Éviter les détails anecdotiques.] </w:t>
      </w:r>
    </w:p>
    <w:p>
      <w:pPr>
        <w:autoSpaceDN w:val="0"/>
        <w:autoSpaceDE w:val="0"/>
        <w:widowControl/>
        <w:spacing w:line="276" w:lineRule="auto" w:before="248" w:after="120"/>
        <w:ind w:left="30" w:right="0" w:firstLine="0"/>
        <w:jc w:val="left"/>
      </w:pPr>
      <w:r>
        <w:rPr>
          <w:rFonts w:ascii="Calibri" w:hAnsi="Calibri" w:eastAsia="Arial,Bold"/>
          <w:b/>
          <w:i w:val="0"/>
          <w:color w:val="333333"/>
          <w:sz w:val="22"/>
        </w:rPr>
        <w:t xml:space="preserve">1.1 Mission et historique </w:t>
      </w:r>
    </w:p>
    <w:p>
      <w:pPr>
        <w:autoSpaceDN w:val="0"/>
        <w:autoSpaceDE w:val="0"/>
        <w:widowControl/>
        <w:spacing w:line="276" w:lineRule="auto" w:before="246" w:after="120"/>
        <w:ind w:left="30" w:right="0" w:firstLine="0"/>
        <w:jc w:val="left"/>
      </w:pPr>
      <w:r>
        <w:rPr>
          <w:rFonts w:ascii="Calibri" w:hAnsi="Calibri" w:eastAsia="Arial,Bold"/>
          <w:b/>
          <w:i w:val="0"/>
          <w:color w:val="333333"/>
          <w:sz w:val="22"/>
        </w:rPr>
        <w:t xml:space="preserve">1.2 Structure organisationnelle </w:t>
      </w:r>
    </w:p>
    <w:p>
      <w:pPr>
        <w:autoSpaceDN w:val="0"/>
        <w:tabs>
          <w:tab w:pos="750" w:val="left"/>
        </w:tabs>
        <w:autoSpaceDE w:val="0"/>
        <w:widowControl/>
        <w:spacing w:line="276" w:lineRule="auto" w:before="90" w:after="120"/>
        <w:ind w:left="390" w:right="0" w:firstLine="0"/>
        <w:jc w:val="left"/>
      </w:pPr>
      <w:r>
        <w:rPr>
          <w:rFonts w:ascii="Calibri" w:hAnsi="Calibri"/>
          <w:color w:val="333333"/>
          <w:sz w:val="22"/>
        </w:rPr>
        <w:t xml:space="preserve">• </w:t>
        <w:tab/>
        <w:t>Service d’administration : Assure la gouvernance globale, la planification stratégique et la négociation avec les fournisseurs de matériaux lourds.</w:t>
      </w:r>
    </w:p>
    <w:p>
      <w:pPr>
        <w:autoSpaceDN w:val="0"/>
        <w:tabs>
          <w:tab w:pos="750" w:val="left"/>
        </w:tabs>
        <w:autoSpaceDE w:val="0"/>
        <w:widowControl/>
        <w:spacing w:line="276" w:lineRule="auto" w:before="68" w:after="120"/>
        <w:ind w:left="390" w:right="0" w:firstLine="0"/>
        <w:jc w:val="left"/>
      </w:pPr>
      <w:r>
        <w:rPr>
          <w:rFonts w:ascii="Calibri" w:hAnsi="Calibri"/>
          <w:color w:val="333333"/>
          <w:sz w:val="22"/>
        </w:rPr>
        <w:t xml:space="preserve">• </w:t>
        <w:tab/>
        <w:t>Service de comptabilité : Supervise la caisse, effectue les encaissements, gère la trésorerie et le suivi rigoureux des dépenses.</w:t>
      </w:r>
    </w:p>
    <w:p>
      <w:pPr>
        <w:autoSpaceDN w:val="0"/>
        <w:tabs>
          <w:tab w:pos="750" w:val="left"/>
        </w:tabs>
        <w:autoSpaceDE w:val="0"/>
        <w:widowControl/>
        <w:spacing w:line="276" w:lineRule="auto" w:before="70" w:after="120"/>
        <w:ind w:left="390" w:right="0" w:firstLine="0"/>
        <w:jc w:val="left"/>
      </w:pPr>
      <w:r>
        <w:rPr>
          <w:rFonts w:ascii="Calibri" w:hAnsi="Calibri"/>
          <w:color w:val="333333"/>
          <w:sz w:val="22"/>
        </w:rPr>
        <w:t xml:space="preserve">• </w:t>
        <w:tab/>
        <w:t>Service logistique et stock : Coordonne la réception des marchandises (ciment, barres de fer, peinture), supervise le déchargement et s'occupe de la livraison dans la cour de stockage.</w:t>
      </w:r>
    </w:p>
    <w:p>
      <w:pPr>
        <w:spacing w:line="276" w:lineRule="auto" w:after="120"/>
      </w:pPr>
      <w:r>
        <w:rPr>
          <w:rFonts w:ascii="Calibri" w:hAnsi="Calibri"/>
          <w:color w:val="333333"/>
          <w:sz w:val="22"/>
        </w:rPr>
        <w:t xml:space="preserve">• </w:t>
        <w:tab/>
        <w:t>Service des ventes &amp; Relations clients : Gère le personnel de cour, assure l'accueil des clients au comptoir et traite les requêtes d'achat immédiat.</w:t>
      </w:r>
    </w:p>
    <w:p>
      <w:pPr>
        <w:autoSpaceDN w:val="0"/>
        <w:tabs>
          <w:tab w:pos="750" w:val="left"/>
        </w:tabs>
        <w:autoSpaceDE w:val="0"/>
        <w:widowControl/>
        <w:spacing w:line="276" w:lineRule="auto" w:before="68" w:after="120"/>
        <w:ind w:left="390" w:right="0" w:firstLine="0"/>
        <w:jc w:val="center"/>
      </w:pPr>
      <w:r>
        <w:rPr>
          <w:rFonts w:ascii="Calibri" w:hAnsi="Calibri"/>
          <w:color w:val="333333"/>
          <w:sz w:val="22"/>
        </w:rPr>
        <w:br/>
        <w:t>Structure Organisationnelle du projet GESIFID :</w:t>
      </w:r>
    </w:p>
    <w:p>
      <w:pPr>
        <w:spacing w:line="276" w:lineRule="auto" w:after="120"/>
        <w:jc w:val="center"/>
      </w:pPr>
      <w:r>
        <w:rPr>
          <w:rFonts w:ascii="Calibri" w:hAnsi="Calibri"/>
          <w:color w:val="333333"/>
          <w:sz w:val="22"/>
        </w:rP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org_chart.png"/>
                    <pic:cNvPicPr/>
                  </pic:nvPicPr>
                  <pic:blipFill>
                    <a:blip r:embed="rId9"/>
                    <a:stretch>
                      <a:fillRect/>
                    </a:stretch>
                  </pic:blipFill>
                  <pic:spPr>
                    <a:xfrm>
                      <a:off x="0" y="0"/>
                      <a:ext cx="5303520" cy="2651760"/>
                    </a:xfrm>
                    <a:prstGeom prst="rect"/>
                  </pic:spPr>
                </pic:pic>
              </a:graphicData>
            </a:graphic>
          </wp:inline>
        </w:drawing>
      </w:r>
    </w:p>
    <w:p>
      <w:pPr>
        <w:autoSpaceDN w:val="0"/>
        <w:autoSpaceDE w:val="0"/>
        <w:widowControl/>
        <w:spacing w:line="276" w:lineRule="auto" w:before="248" w:after="120"/>
        <w:ind w:left="30" w:right="0" w:firstLine="0"/>
        <w:jc w:val="left"/>
      </w:pPr>
      <w:r>
        <w:rPr>
          <w:rFonts w:ascii="Calibri" w:hAnsi="Calibri" w:eastAsia="Arial,Bold"/>
          <w:b/>
          <w:i w:val="0"/>
          <w:color w:val="333333"/>
          <w:sz w:val="22"/>
        </w:rPr>
        <w:t xml:space="preserve">1.3 Périmètre de l’étude </w:t>
      </w:r>
    </w:p>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2. Contexte du problème </w:t>
      </w:r>
    </w:p>
    <w:p>
      <w:pPr>
        <w:autoSpaceDN w:val="0"/>
        <w:autoSpaceDE w:val="0"/>
        <w:widowControl/>
        <w:spacing w:line="276" w:lineRule="auto" w:before="132" w:after="120"/>
        <w:ind w:left="30" w:right="432" w:firstLine="0"/>
        <w:jc w:val="left"/>
      </w:pPr>
      <w:r>
        <w:rPr>
          <w:rFonts w:ascii="Calibri" w:hAnsi="Calibri"/>
          <w:color w:val="333333"/>
          <w:sz w:val="22"/>
        </w:rPr>
        <w:t>L'Entreprise Rendez-vous fonctionne actuellement selon un modèle traditionnel non informatisé, s'appuyant intégralement sur des processus manuels.</w:t>
      </w:r>
    </w:p>
    <w:p>
      <w:pPr>
        <w:autoSpaceDN w:val="0"/>
        <w:autoSpaceDE w:val="0"/>
        <w:widowControl/>
        <w:spacing w:line="276" w:lineRule="auto" w:before="246" w:after="120"/>
        <w:ind w:left="30" w:right="0" w:firstLine="0"/>
        <w:jc w:val="left"/>
      </w:pPr>
      <w:r>
        <w:rPr>
          <w:rFonts w:ascii="Calibri" w:hAnsi="Calibri" w:eastAsia="Arial,Bold"/>
          <w:b/>
          <w:i w:val="0"/>
          <w:color w:val="333333"/>
          <w:sz w:val="22"/>
        </w:rPr>
        <w:t xml:space="preserve">2.1 Situation géographique et opérationnelle </w:t>
      </w:r>
    </w:p>
    <w:p>
      <w:pPr>
        <w:autoSpaceDN w:val="0"/>
        <w:autoSpaceDE w:val="0"/>
        <w:widowControl/>
        <w:spacing w:line="276" w:lineRule="auto" w:before="248" w:after="120"/>
        <w:ind w:left="30" w:right="0" w:firstLine="0"/>
        <w:jc w:val="left"/>
      </w:pPr>
      <w:r>
        <w:rPr>
          <w:rFonts w:ascii="Calibri" w:hAnsi="Calibri" w:eastAsia="Arial,Bold"/>
          <w:b/>
          <w:i w:val="0"/>
          <w:color w:val="333333"/>
          <w:sz w:val="22"/>
        </w:rPr>
        <w:t xml:space="preserve">2.2 Fonctionnement actuel des processus clés </w:t>
      </w:r>
    </w:p>
    <w:p>
      <w:pPr>
        <w:autoSpaceDN w:val="0"/>
        <w:autoSpaceDE w:val="0"/>
        <w:widowControl/>
        <w:spacing w:line="276" w:lineRule="auto" w:before="82" w:after="120"/>
        <w:ind w:left="30" w:right="1296" w:firstLine="0"/>
        <w:jc w:val="left"/>
      </w:pPr>
      <w:r>
        <w:rPr>
          <w:rFonts w:ascii="Calibri" w:hAnsi="Calibri"/>
          <w:color w:val="333333"/>
          <w:sz w:val="22"/>
        </w:rPr>
        <w:t>Lorsqu'un client se présente pour acquérir du matériel (par exemple, 50 sacs de ciment et 5 pots de peinture) :</w:t>
        <w:br/>
        <w:t>1. Vérification : Le caissier vérifie la disponibilité de l'article de mémoire ou doit se déplacer physiquement vers la cour de stockage.</w:t>
        <w:br/>
        <w:t>2. Facturation : Il rédige manuellement une facture en double exemplaire sur un carnet de reçus papier autocopiant.</w:t>
        <w:br/>
        <w:t>3. Encaissement : Le client règle la facture à la caisse.</w:t>
        <w:br/>
        <w:t>4. Livraison : Le client se déplace à l'entrepôt et présente son reçu papier au personnel de cour, qui procède manuellement au comptage et au chargement des marchandises.</w:t>
        <w:br/>
        <w:t>5. Mise à jour : En fin de journée, les sorties sont saisies sur un registre général papier pour évaluer le niveau théorique des stocks restants.</w:t>
      </w:r>
    </w:p>
    <w:p>
      <w:pPr>
        <w:autoSpaceDN w:val="0"/>
        <w:autoSpaceDE w:val="0"/>
        <w:widowControl/>
        <w:spacing w:line="276" w:lineRule="auto" w:before="248" w:after="120"/>
        <w:ind w:left="30" w:right="0" w:firstLine="0"/>
        <w:jc w:val="left"/>
      </w:pPr>
      <w:r>
        <w:rPr>
          <w:rFonts w:ascii="Calibri" w:hAnsi="Calibri" w:eastAsia="Arial,Bold"/>
          <w:b/>
          <w:i w:val="0"/>
          <w:color w:val="333333"/>
          <w:sz w:val="22"/>
        </w:rPr>
        <w:t xml:space="preserve">2.3 Limites du système actuel </w:t>
      </w:r>
    </w:p>
    <w:p>
      <w:pPr>
        <w:autoSpaceDN w:val="0"/>
        <w:autoSpaceDE w:val="0"/>
        <w:widowControl/>
        <w:spacing w:line="276" w:lineRule="auto" w:before="92" w:after="120"/>
        <w:ind w:left="30" w:right="0" w:firstLine="0"/>
        <w:jc w:val="left"/>
      </w:pPr>
      <w:r>
        <w:rPr>
          <w:rFonts w:ascii="Calibri" w:hAnsi="Calibri"/>
          <w:color w:val="333333"/>
          <w:sz w:val="22"/>
        </w:rPr>
        <w:t>Cette méthode de travail traditionnelle génère des goulots d'étranglement majeurs :</w:t>
        <w:br/>
        <w:t>• Ruptures de stock non anticipées : Les matériaux critiques (ciment, fer de construction) subissent des ruptures régulières sans alerte, occasionnant des pertes immédiates de chiffre d'affaires et une frustration chez les clients professionnels.</w:t>
        <w:br/>
        <w:t>• Lenteur extrême de facturation : La saisie manuscrite systématique rallonge dramatiquement les files d'attente lors des heures de pointe (les jours de marché ou en début de matinée).</w:t>
        <w:br/>
        <w:t>• Gestion opaque et arbitraire de la fidélité : Les remises commerciales accordées aux clients récurrents dépendent de la mémoire du caissier ou de calculs mentaux subjectifs, générant des écarts de caisse, des injustices ressenties et une érosion de la marge commerciale.</w:t>
      </w:r>
    </w:p>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3. Inventaire des problèmes et des besoins </w:t>
      </w:r>
    </w:p>
    <w:p>
      <w:pPr>
        <w:autoSpaceDN w:val="0"/>
        <w:autoSpaceDE w:val="0"/>
        <w:widowControl/>
        <w:spacing w:line="276" w:lineRule="auto" w:before="222" w:after="120"/>
        <w:ind w:left="30" w:right="1008" w:firstLine="0"/>
        <w:jc w:val="left"/>
      </w:pPr>
      <w:r>
        <w:rPr>
          <w:rFonts w:ascii="Calibri" w:hAnsi="Calibri"/>
          <w:color w:val="333333"/>
          <w:sz w:val="22"/>
        </w:rPr>
        <w:t>Ci-dessous figure l'évaluation exhaustive des trois dysfonctionnements majeurs identifiés dans le fonctionnement actuel de la quincaillerie :</w:t>
      </w:r>
    </w:p>
    <w:tbl>
      <w:tblPr>
        <w:tblW w:type="auto" w:w="0"/>
        <w:tblLayout w:type="fixed"/>
        <w:tblLook w:firstColumn="1" w:firstRow="1" w:lastColumn="0" w:lastRow="0" w:noHBand="0" w:noVBand="1" w:val="04A0"/>
        <w:tblInd w:w="20.0" w:type="dxa"/>
      </w:tblPr>
      <w:tblGrid>
        <w:gridCol w:w="3147"/>
        <w:gridCol w:w="3147"/>
        <w:gridCol w:w="3147"/>
      </w:tblGrid>
      <w:tr>
        <w:trPr>
          <w:trHeight w:hRule="exact" w:val="394"/>
        </w:trPr>
        <w:tc>
          <w:tcPr>
            <w:tcW w:type="dxa" w:w="3000"/>
            <w:tcBorders>
              <w:start w:sz="0.7999999999999545" w:val="single" w:color="#AAAAAA"/>
              <w:top w:sz="0.8000000000001819" w:val="single" w:color="#AAAAAA"/>
              <w:end w:sz="1.59999999999990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6" w:after="0"/>
              <w:ind w:left="120" w:right="0" w:firstLine="0"/>
              <w:jc w:val="center"/>
            </w:pPr>
            <w:r>
              <w:rPr>
                <w:rFonts w:ascii="Calibri" w:hAnsi="Calibri" w:eastAsia="Arial,Bold"/>
                <w:b/>
                <w:i w:val="0"/>
                <w:color w:val="FFFFFF"/>
                <w:sz w:val="20"/>
              </w:rPr>
              <w:t>Problème</w:t>
            </w:r>
          </w:p>
        </w:tc>
        <w:tc>
          <w:tcPr>
            <w:tcW w:type="dxa" w:w="3002"/>
            <w:tcBorders>
              <w:start w:sz="1.599999999999909" w:val="single" w:color="#AAAAAA"/>
              <w:top w:sz="0.8000000000001819"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6" w:after="0"/>
              <w:ind w:left="120" w:right="0" w:firstLine="0"/>
              <w:jc w:val="center"/>
            </w:pPr>
            <w:r>
              <w:rPr>
                <w:rFonts w:ascii="Calibri" w:hAnsi="Calibri" w:eastAsia="Arial,Bold"/>
                <w:b/>
                <w:i w:val="0"/>
                <w:color w:val="FFFFFF"/>
                <w:sz w:val="20"/>
              </w:rPr>
              <w:t>Cause</w:t>
            </w:r>
          </w:p>
        </w:tc>
        <w:tc>
          <w:tcPr>
            <w:tcW w:type="dxa" w:w="3358"/>
            <w:tcBorders>
              <w:start w:sz="0.8000000000001819" w:val="single" w:color="#AAAAAA"/>
              <w:top w:sz="0.8000000000001819"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6" w:after="0"/>
              <w:ind w:left="118" w:right="0" w:firstLine="0"/>
              <w:jc w:val="center"/>
            </w:pPr>
            <w:r>
              <w:rPr>
                <w:rFonts w:ascii="Calibri" w:hAnsi="Calibri" w:eastAsia="Arial,Bold"/>
                <w:b/>
                <w:i w:val="0"/>
                <w:color w:val="FFFFFF"/>
                <w:sz w:val="20"/>
              </w:rPr>
              <w:t>Conséquence</w:t>
            </w:r>
          </w:p>
        </w:tc>
      </w:tr>
      <w:tr>
        <w:tc>
          <w:tcPr>
            <w:tcW w:type="dxa" w:w="3147"/>
            <w:tcMar>
              <w:top w:w="80" w:type="dxa"/>
              <w:bottom w:w="80" w:type="dxa"/>
              <w:left w:w="120" w:type="dxa"/>
              <w:right w:w="120" w:type="dxa"/>
            </w:tcMar>
            <w:shd w:val="clear" w:color="auto" w:fill="F4F7F6"/>
          </w:tcPr>
          <w:p>
            <w:r>
              <w:rPr>
                <w:rFonts w:ascii="Calibri" w:hAnsi="Calibri"/>
                <w:color w:val="333333"/>
              </w:rPr>
              <w:t>P1</w:t>
            </w:r>
          </w:p>
        </w:tc>
        <w:tc>
          <w:tcPr>
            <w:tcW w:type="dxa" w:w="3147"/>
            <w:tcMar>
              <w:top w:w="80" w:type="dxa"/>
              <w:bottom w:w="80" w:type="dxa"/>
              <w:left w:w="120" w:type="dxa"/>
              <w:right w:w="120" w:type="dxa"/>
            </w:tcMar>
            <w:shd w:val="clear" w:color="auto" w:fill="F4F7F6"/>
          </w:tcPr>
          <w:p>
            <w:r>
              <w:rPr>
                <w:rFonts w:ascii="Calibri" w:hAnsi="Calibri"/>
                <w:color w:val="333333"/>
              </w:rPr>
              <w:t>Écarts fréquents et retards majeurs de mise à jour des stocks.</w:t>
            </w:r>
          </w:p>
        </w:tc>
        <w:tc>
          <w:tcPr>
            <w:tcW w:type="dxa" w:w="3147"/>
            <w:tcMar>
              <w:top w:w="80" w:type="dxa"/>
              <w:bottom w:w="80" w:type="dxa"/>
              <w:left w:w="120" w:type="dxa"/>
              <w:right w:w="120" w:type="dxa"/>
            </w:tcMar>
            <w:shd w:val="clear" w:color="auto" w:fill="F4F7F6"/>
          </w:tcPr>
          <w:p>
            <w:r>
              <w:rPr>
                <w:rFonts w:ascii="Calibri" w:hAnsi="Calibri"/>
                <w:color w:val="333333"/>
              </w:rPr>
              <w:t>Saisie manuelle différée sur registre papier en fin de journée.</w:t>
              <w:br/>
              <w:t>Conséquence: Ruptures de stock imprévues sur les produits phares (ciment, fer), ventes ratées, détérioration de l'image de marque.</w:t>
            </w:r>
          </w:p>
        </w:tc>
      </w:tr>
      <w:tr>
        <w:tc>
          <w:tcPr>
            <w:tcW w:type="dxa" w:w="3147"/>
            <w:tcMar>
              <w:top w:w="80" w:type="dxa"/>
              <w:bottom w:w="80" w:type="dxa"/>
              <w:left w:w="120" w:type="dxa"/>
              <w:right w:w="120" w:type="dxa"/>
            </w:tcMar>
          </w:tcPr>
          <w:p>
            <w:r>
              <w:rPr>
                <w:rFonts w:ascii="Calibri" w:hAnsi="Calibri"/>
                <w:color w:val="333333"/>
              </w:rPr>
              <w:t>P2</w:t>
            </w:r>
          </w:p>
        </w:tc>
        <w:tc>
          <w:tcPr>
            <w:tcW w:type="dxa" w:w="3147"/>
            <w:tcMar>
              <w:top w:w="80" w:type="dxa"/>
              <w:bottom w:w="80" w:type="dxa"/>
              <w:left w:w="120" w:type="dxa"/>
              <w:right w:w="120" w:type="dxa"/>
            </w:tcMar>
          </w:tcPr>
          <w:p>
            <w:r>
              <w:rPr>
                <w:rFonts w:ascii="Calibri" w:hAnsi="Calibri"/>
                <w:color w:val="333333"/>
              </w:rPr>
              <w:t>File d'attente prolongée au comptoir de facturation.</w:t>
            </w:r>
          </w:p>
        </w:tc>
        <w:tc>
          <w:tcPr>
            <w:tcW w:type="dxa" w:w="3147"/>
            <w:tcMar>
              <w:top w:w="80" w:type="dxa"/>
              <w:bottom w:w="80" w:type="dxa"/>
              <w:left w:w="120" w:type="dxa"/>
              <w:right w:w="120" w:type="dxa"/>
            </w:tcMar>
          </w:tcPr>
          <w:p>
            <w:r>
              <w:rPr>
                <w:rFonts w:ascii="Calibri" w:hAnsi="Calibri"/>
                <w:color w:val="333333"/>
              </w:rPr>
              <w:t>Rédaction manuscrite fastidieuse de chaque ligne de commande sur reçu papier.</w:t>
              <w:br/>
              <w:t>Conséquence: Inconfort client, baisse de la productivité, surcharge de travail du caissier.</w:t>
            </w:r>
          </w:p>
        </w:tc>
      </w:tr>
      <w:tr>
        <w:tc>
          <w:tcPr>
            <w:tcW w:type="dxa" w:w="3147"/>
            <w:tcMar>
              <w:top w:w="80" w:type="dxa"/>
              <w:bottom w:w="80" w:type="dxa"/>
              <w:left w:w="120" w:type="dxa"/>
              <w:right w:w="120" w:type="dxa"/>
            </w:tcMar>
            <w:shd w:val="clear" w:color="auto" w:fill="F4F7F6"/>
          </w:tcPr>
          <w:p>
            <w:r>
              <w:rPr>
                <w:rFonts w:ascii="Calibri" w:hAnsi="Calibri"/>
                <w:color w:val="333333"/>
              </w:rPr>
              <w:t>P3</w:t>
            </w:r>
          </w:p>
        </w:tc>
        <w:tc>
          <w:tcPr>
            <w:tcW w:type="dxa" w:w="3147"/>
            <w:tcMar>
              <w:top w:w="80" w:type="dxa"/>
              <w:bottom w:w="80" w:type="dxa"/>
              <w:left w:w="120" w:type="dxa"/>
              <w:right w:w="120" w:type="dxa"/>
            </w:tcMar>
            <w:shd w:val="clear" w:color="auto" w:fill="F4F7F6"/>
          </w:tcPr>
          <w:p>
            <w:r>
              <w:rPr>
                <w:rFonts w:ascii="Calibri" w:hAnsi="Calibri"/>
                <w:color w:val="333333"/>
              </w:rPr>
              <w:t>Manque de cohérence et calcul arbitraire des remises clients.</w:t>
            </w:r>
          </w:p>
        </w:tc>
        <w:tc>
          <w:tcPr>
            <w:tcW w:type="dxa" w:w="3147"/>
            <w:tcMar>
              <w:top w:w="80" w:type="dxa"/>
              <w:bottom w:w="80" w:type="dxa"/>
              <w:left w:w="120" w:type="dxa"/>
              <w:right w:w="120" w:type="dxa"/>
            </w:tcMar>
            <w:shd w:val="clear" w:color="auto" w:fill="F4F7F6"/>
          </w:tcPr>
          <w:p>
            <w:r>
              <w:rPr>
                <w:rFonts w:ascii="Calibri" w:hAnsi="Calibri"/>
                <w:color w:val="333333"/>
              </w:rPr>
              <w:t>Absence de système d'archivage client et de règles automatisées.</w:t>
              <w:br/>
              <w:t>Conséquence: Pertes financières directes (erreurs de calcul) ou insatisfaction des clients fidèles lésés.</w:t>
            </w:r>
          </w:p>
        </w:tc>
      </w:tr>
    </w:tbl>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4. Objectifs des changements à réaliser </w:t>
      </w:r>
    </w:p>
    <w:p>
      <w:pPr>
        <w:autoSpaceDN w:val="0"/>
        <w:autoSpaceDE w:val="0"/>
        <w:widowControl/>
        <w:spacing w:line="276" w:lineRule="auto" w:before="132" w:after="120"/>
        <w:ind w:left="30" w:right="0" w:firstLine="0"/>
        <w:jc w:val="left"/>
      </w:pPr>
      <w:r>
        <w:rPr>
          <w:rFonts w:ascii="Calibri" w:hAnsi="Calibri"/>
          <w:color w:val="333333"/>
          <w:sz w:val="22"/>
        </w:rPr>
        <w:t>Pour guider le projet de transformation technologique, la direction a fixé des objectifs stratégiques selon la méthodologie SMART :</w:t>
      </w:r>
    </w:p>
    <w:p>
      <w:pPr>
        <w:autoSpaceDN w:val="0"/>
        <w:autoSpaceDE w:val="0"/>
        <w:widowControl/>
        <w:spacing w:line="276" w:lineRule="auto" w:before="8" w:after="120"/>
        <w:ind w:left="30" w:right="0" w:firstLine="0"/>
        <w:jc w:val="left"/>
      </w:pPr>
      <w:r>
        <w:rPr>
          <w:rFonts w:ascii="Calibri" w:hAnsi="Calibri" w:eastAsia="Arial"/>
          <w:b w:val="0"/>
          <w:i w:val="0"/>
          <w:color w:val="333333"/>
          <w:sz w:val="22"/>
        </w:rPr>
        <w:t xml:space="preserve">Temporellement définis.] </w:t>
      </w:r>
    </w:p>
    <w:p>
      <w:pPr>
        <w:autoSpaceDN w:val="0"/>
        <w:tabs>
          <w:tab w:pos="750" w:val="left"/>
        </w:tabs>
        <w:autoSpaceDE w:val="0"/>
        <w:widowControl/>
        <w:spacing w:line="276" w:lineRule="auto" w:before="90" w:after="120"/>
        <w:ind w:left="390" w:right="0" w:firstLine="0"/>
        <w:jc w:val="left"/>
      </w:pPr>
      <w:r>
        <w:rPr>
          <w:rFonts w:ascii="Calibri" w:hAnsi="Calibri"/>
          <w:color w:val="333333"/>
          <w:sz w:val="22"/>
        </w:rPr>
        <w:t xml:space="preserve">• </w:t>
        <w:tab/>
        <w:t>Objectif 1 (Rapidité) : Réduire le temps moyen de traitement d'une vente au comptoir de 3 minutes à moins de 45 secondes dès les 30 premiers jours suivant le déploiement opérationnel.</w:t>
      </w:r>
    </w:p>
    <w:p>
      <w:pPr>
        <w:autoSpaceDN w:val="0"/>
        <w:tabs>
          <w:tab w:pos="750" w:val="left"/>
        </w:tabs>
        <w:autoSpaceDE w:val="0"/>
        <w:widowControl/>
        <w:spacing w:line="276" w:lineRule="auto" w:before="68" w:after="120"/>
        <w:ind w:left="390" w:right="0" w:firstLine="0"/>
        <w:jc w:val="left"/>
      </w:pPr>
      <w:r>
        <w:rPr>
          <w:rFonts w:ascii="Calibri" w:hAnsi="Calibri"/>
          <w:color w:val="333333"/>
          <w:sz w:val="22"/>
        </w:rPr>
        <w:t xml:space="preserve">• </w:t>
        <w:tab/>
        <w:t>Objectif 2 (Précision) : Atteindre et maintenir une correspondance de 99,5% entre le stock informatique théorique et le stock physique grâce à la mise à jour automatique et instantanée de la base de données lors de chaque encaissement.</w:t>
      </w:r>
    </w:p>
    <w:p>
      <w:pPr>
        <w:autoSpaceDN w:val="0"/>
        <w:tabs>
          <w:tab w:pos="750" w:val="left"/>
        </w:tabs>
        <w:autoSpaceDE w:val="0"/>
        <w:widowControl/>
        <w:spacing w:line="276" w:lineRule="auto" w:before="70" w:after="120"/>
        <w:ind w:left="390" w:right="0" w:firstLine="0"/>
        <w:jc w:val="left"/>
      </w:pPr>
      <w:r>
        <w:rPr>
          <w:rFonts w:ascii="Calibri" w:hAnsi="Calibri"/>
          <w:color w:val="333333"/>
          <w:sz w:val="22"/>
        </w:rPr>
        <w:t xml:space="preserve">• </w:t>
        <w:tab/>
        <w:t>Objectif 3 (Fidélisation) : Automatiser à 100% l'application des règles commerciales complexes (ex. : octroi systématique de 5% de remise dès le franchissement de 100 sacs de ciment cumulés sur un trimestre) pour éliminer définitivement l'arbitraire et les erreurs humaines à la caisse.</w:t>
      </w:r>
    </w:p>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5. Solutions possibles </w:t>
      </w:r>
    </w:p>
    <w:p>
      <w:pPr>
        <w:autoSpaceDN w:val="0"/>
        <w:autoSpaceDE w:val="0"/>
        <w:widowControl/>
        <w:spacing w:line="276" w:lineRule="auto" w:before="250" w:after="120"/>
        <w:ind w:left="30" w:right="0" w:firstLine="0"/>
        <w:jc w:val="left"/>
      </w:pPr>
      <w:r>
        <w:rPr>
          <w:rFonts w:ascii="Calibri" w:hAnsi="Calibri" w:eastAsia="Arial,Bold"/>
          <w:b/>
          <w:i w:val="0"/>
          <w:color w:val="333333"/>
          <w:sz w:val="22"/>
        </w:rPr>
        <w:t xml:space="preserve">5.1 Solution 1 — Non liée à l’informatique </w:t>
      </w:r>
    </w:p>
    <w:p>
      <w:pPr>
        <w:autoSpaceDN w:val="0"/>
        <w:autoSpaceDE w:val="0"/>
        <w:widowControl/>
        <w:spacing w:line="276" w:lineRule="auto" w:before="246" w:after="120"/>
        <w:ind w:left="30" w:right="0" w:firstLine="0"/>
        <w:jc w:val="left"/>
      </w:pPr>
      <w:r>
        <w:rPr>
          <w:rFonts w:ascii="Calibri" w:hAnsi="Calibri" w:eastAsia="Arial,Bold"/>
          <w:b/>
          <w:i w:val="0"/>
          <w:color w:val="333333"/>
          <w:sz w:val="22"/>
        </w:rPr>
        <w:t xml:space="preserve">5.2 Solution 2 — Acquisition d’un progiciel standard </w:t>
      </w:r>
    </w:p>
    <w:p>
      <w:pPr>
        <w:autoSpaceDN w:val="0"/>
        <w:autoSpaceDE w:val="0"/>
        <w:widowControl/>
        <w:spacing w:line="276" w:lineRule="auto" w:before="248" w:after="120"/>
        <w:ind w:left="30" w:right="0" w:firstLine="0"/>
        <w:jc w:val="left"/>
      </w:pPr>
      <w:r>
        <w:rPr>
          <w:rFonts w:ascii="Calibri" w:hAnsi="Calibri" w:eastAsia="Arial,Bold"/>
          <w:b/>
          <w:i w:val="0"/>
          <w:color w:val="333333"/>
          <w:sz w:val="22"/>
        </w:rPr>
        <w:t xml:space="preserve">5.3 Solution 3 — Adaptation d’un progiciel existant </w:t>
      </w:r>
    </w:p>
    <w:p>
      <w:pPr>
        <w:autoSpaceDN w:val="0"/>
        <w:autoSpaceDE w:val="0"/>
        <w:widowControl/>
        <w:spacing w:line="276" w:lineRule="auto" w:before="248" w:after="120"/>
        <w:ind w:left="30" w:right="0" w:firstLine="0"/>
        <w:jc w:val="left"/>
      </w:pPr>
      <w:r>
        <w:rPr>
          <w:rFonts w:ascii="Calibri" w:hAnsi="Calibri" w:eastAsia="Arial,Bold"/>
          <w:b/>
          <w:i w:val="0"/>
          <w:color w:val="333333"/>
          <w:sz w:val="22"/>
        </w:rPr>
        <w:t xml:space="preserve">5.4 Solution 4 — Développement d’un logiciel sur mesure </w:t>
      </w:r>
    </w:p>
    <w:p>
      <w:pPr>
        <w:autoSpaceDN w:val="0"/>
        <w:autoSpaceDE w:val="0"/>
        <w:widowControl/>
        <w:spacing w:line="276" w:lineRule="auto" w:before="0" w:after="120"/>
        <w:ind w:left="0" w:right="0"/>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6. Bénéfices et coûts de chaque solution </w:t>
      </w:r>
    </w:p>
    <w:p>
      <w:pPr>
        <w:autoSpaceDN w:val="0"/>
        <w:autoSpaceDE w:val="0"/>
        <w:widowControl/>
        <w:spacing w:line="276" w:lineRule="auto" w:before="208" w:after="120"/>
        <w:ind w:left="30" w:right="144" w:firstLine="0"/>
        <w:jc w:val="left"/>
      </w:pPr>
      <w:r>
        <w:rPr>
          <w:rFonts w:ascii="Calibri" w:hAnsi="Calibri"/>
          <w:color w:val="333333"/>
          <w:sz w:val="22"/>
        </w:rPr>
        <w:t xml:space="preserve">6.1 Coûts de la Solution 1 (non informatique) </w:t>
        <w:br/>
        <w:t xml:space="preserve"> </w:t>
        <w:br/>
        <w:t>Coûts du personnel — Site A (Cayes-Jacmel)</w:t>
      </w:r>
    </w:p>
    <w:tbl>
      <w:tblPr>
        <w:tblW w:type="auto" w:w="0"/>
        <w:tblLayout w:type="fixed"/>
        <w:tblLook w:firstColumn="1" w:firstRow="1" w:lastColumn="0" w:lastRow="0" w:noHBand="0" w:noVBand="1" w:val="04A0"/>
        <w:tblInd w:w="20.0" w:type="dxa"/>
      </w:tblPr>
      <w:tblGrid>
        <w:gridCol w:w="3147"/>
        <w:gridCol w:w="3147"/>
        <w:gridCol w:w="3147"/>
      </w:tblGrid>
      <w:tr>
        <w:trPr>
          <w:trHeight w:hRule="exact" w:val="620"/>
        </w:trPr>
        <w:tc>
          <w:tcPr>
            <w:tcW w:type="dxa" w:w="4000"/>
            <w:tcBorders>
              <w:start w:sz="0.7999999999999545" w:val="single" w:color="#AAAAAA"/>
              <w:top w:sz="0.7999999999999545" w:val="single" w:color="#AAAAAA"/>
              <w:end w:sz="1.6000000000003638"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Poste</w:t>
            </w:r>
          </w:p>
        </w:tc>
        <w:tc>
          <w:tcPr>
            <w:tcW w:type="dxa" w:w="2502"/>
            <w:tcBorders>
              <w:start w:sz="1.6000000000003638"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30" w:lineRule="exact" w:before="76" w:after="0"/>
              <w:ind w:left="118" w:right="864" w:firstLine="0"/>
              <w:jc w:val="center"/>
            </w:pPr>
            <w:r>
              <w:rPr>
                <w:rFonts w:ascii="Calibri" w:hAnsi="Calibri" w:eastAsia="Arial,Bold"/>
                <w:b/>
                <w:i w:val="0"/>
                <w:color w:val="FFFFFF"/>
                <w:sz w:val="20"/>
              </w:rPr>
              <w:t xml:space="preserve">Coût mensuel / </w:t>
            </w:r>
            <w:r>
              <w:rPr>
                <w:rFonts w:ascii="Calibri" w:hAnsi="Calibri" w:eastAsia="Arial,Bold"/>
                <w:b/>
                <w:i w:val="0"/>
                <w:color w:val="FFFFFF"/>
                <w:sz w:val="20"/>
              </w:rPr>
              <w:t>employé</w:t>
            </w:r>
          </w:p>
        </w:tc>
        <w:tc>
          <w:tcPr>
            <w:tcW w:type="dxa" w:w="2858"/>
            <w:tcBorders>
              <w:start w:sz="0.8000000000001819"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18" w:right="0" w:firstLine="0"/>
              <w:jc w:val="center"/>
            </w:pPr>
            <w:r>
              <w:rPr>
                <w:rFonts w:ascii="Calibri" w:hAnsi="Calibri" w:eastAsia="Arial,Bold"/>
                <w:b/>
                <w:i w:val="0"/>
                <w:color w:val="FFFFFF"/>
                <w:sz w:val="20"/>
              </w:rPr>
              <w:t>Coût annuel + bonus</w:t>
            </w:r>
          </w:p>
        </w:tc>
      </w:tr>
      <w:tr>
        <w:trPr>
          <w:trHeight w:hRule="exact" w:val="354"/>
        </w:trPr>
        <w:tc>
          <w:tcPr>
            <w:tcW w:type="dxa" w:w="4000"/>
            <w:tcBorders>
              <w:start w:sz="0.7999999999999545" w:val="single" w:color="#AAAAAA"/>
              <w:top w:sz="0.7999999999999545" w:val="single" w:color="#AAAAAA"/>
              <w:end w:sz="1.6000000000003638"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Commis de registre de stock (1)</w:t>
            </w:r>
          </w:p>
        </w:tc>
        <w:tc>
          <w:tcPr>
            <w:tcW w:type="dxa" w:w="2502"/>
            <w:tcBorders>
              <w:start w:sz="1.6000000000003638"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20 000 HTG</w:t>
            </w:r>
          </w:p>
        </w:tc>
        <w:tc>
          <w:tcPr>
            <w:tcW w:type="dxa" w:w="2858"/>
            <w:tcBorders>
              <w:start w:sz="0.8000000000001819"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260 000 HTG</w:t>
            </w:r>
          </w:p>
        </w:tc>
      </w:tr>
      <w:tr>
        <w:trPr>
          <w:trHeight w:hRule="exact" w:val="350"/>
        </w:trPr>
        <w:tc>
          <w:tcPr>
            <w:tcW w:type="dxa" w:w="4000"/>
            <w:tcBorders>
              <w:start w:sz="0.7999999999999545" w:val="single" w:color="#AAAAAA"/>
              <w:top w:sz="0.7999999999999545" w:val="single" w:color="#AAAAAA"/>
              <w:end w:sz="1.6000000000003638"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Commis d'aide-facturation (1)</w:t>
            </w:r>
          </w:p>
        </w:tc>
        <w:tc>
          <w:tcPr>
            <w:tcW w:type="dxa" w:w="2502"/>
            <w:tcBorders>
              <w:start w:sz="1.6000000000003638"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20 000 HTG</w:t>
            </w:r>
          </w:p>
        </w:tc>
        <w:tc>
          <w:tcPr>
            <w:tcW w:type="dxa" w:w="2858"/>
            <w:tcBorders>
              <w:start w:sz="0.8000000000001819"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260 000 HTG</w:t>
            </w:r>
          </w:p>
        </w:tc>
      </w:tr>
      <w:tr>
        <w:trPr>
          <w:trHeight w:hRule="exact" w:val="376"/>
        </w:trPr>
        <w:tc>
          <w:tcPr>
            <w:tcW w:type="dxa" w:w="4000"/>
            <w:tcBorders>
              <w:start w:sz="0.7999999999999545" w:val="single" w:color="#AAAAAA"/>
              <w:top w:sz="0.7999999999999545" w:val="single" w:color="#AAAAAA"/>
              <w:end w:sz="1.6000000000003638"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Total</w:t>
            </w:r>
          </w:p>
        </w:tc>
        <w:tc>
          <w:tcPr>
            <w:tcW w:type="dxa" w:w="2502"/>
            <w:tcBorders>
              <w:start w:sz="1.6000000000003638"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40 000 HTG</w:t>
            </w:r>
          </w:p>
        </w:tc>
        <w:tc>
          <w:tcPr>
            <w:tcW w:type="dxa" w:w="2858"/>
            <w:tcBorders>
              <w:start w:sz="0.8000000000001819"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520 000 HTG</w:t>
            </w:r>
          </w:p>
        </w:tc>
      </w:tr>
    </w:tbl>
    <w:p>
      <w:pPr>
        <w:autoSpaceDN w:val="0"/>
        <w:autoSpaceDE w:val="0"/>
        <w:widowControl/>
        <w:spacing w:line="276" w:lineRule="auto" w:before="418" w:after="120"/>
        <w:ind w:left="30" w:right="0" w:firstLine="0"/>
        <w:jc w:val="left"/>
      </w:pPr>
      <w:r>
        <w:rPr>
          <w:rFonts w:ascii="Calibri" w:hAnsi="Calibri"/>
          <w:color w:val="333333"/>
          <w:sz w:val="22"/>
        </w:rPr>
        <w:t>Coûts du personnel — Site B (Non Applicable)</w:t>
      </w:r>
    </w:p>
    <w:tbl>
      <w:tblPr>
        <w:tblW w:type="auto" w:w="0"/>
        <w:tblLayout w:type="fixed"/>
        <w:tblLook w:firstColumn="1" w:firstRow="1" w:lastColumn="0" w:lastRow="0" w:noHBand="0" w:noVBand="1" w:val="04A0"/>
        <w:tblInd w:w="20.0" w:type="dxa"/>
      </w:tblPr>
      <w:tblGrid>
        <w:gridCol w:w="3147"/>
        <w:gridCol w:w="3147"/>
        <w:gridCol w:w="3147"/>
      </w:tblGrid>
      <w:tr>
        <w:trPr>
          <w:trHeight w:hRule="exact" w:val="622"/>
        </w:trPr>
        <w:tc>
          <w:tcPr>
            <w:tcW w:type="dxa" w:w="4000"/>
            <w:tcBorders>
              <w:start w:sz="0.7999999999999545" w:val="single" w:color="#AAAAAA"/>
              <w:end w:sz="1.6000000000003638" w:val="single" w:color="#AAAAAA"/>
              <w:bottom w:sz="1.6000000000003638"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20" w:right="0" w:firstLine="0"/>
              <w:jc w:val="center"/>
            </w:pPr>
            <w:r>
              <w:rPr>
                <w:rFonts w:ascii="Calibri" w:hAnsi="Calibri" w:eastAsia="Arial,Bold"/>
                <w:b/>
                <w:i w:val="0"/>
                <w:color w:val="FFFFFF"/>
                <w:sz w:val="20"/>
              </w:rPr>
              <w:t>Poste</w:t>
            </w:r>
          </w:p>
        </w:tc>
        <w:tc>
          <w:tcPr>
            <w:tcW w:type="dxa" w:w="2502"/>
            <w:tcBorders>
              <w:start w:sz="1.6000000000003638" w:val="single" w:color="#AAAAAA"/>
              <w:end w:sz="0.8000000000001819" w:val="single" w:color="#AAAAAA"/>
              <w:bottom w:sz="1.6000000000003638"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8" w:lineRule="exact" w:before="80" w:after="0"/>
              <w:ind w:left="118" w:right="864" w:firstLine="0"/>
              <w:jc w:val="center"/>
            </w:pPr>
            <w:r>
              <w:rPr>
                <w:rFonts w:ascii="Calibri" w:hAnsi="Calibri" w:eastAsia="Arial,Bold"/>
                <w:b/>
                <w:i w:val="0"/>
                <w:color w:val="FFFFFF"/>
                <w:sz w:val="20"/>
              </w:rPr>
              <w:t xml:space="preserve">Coût mensuel / </w:t>
            </w:r>
            <w:r>
              <w:rPr>
                <w:rFonts w:ascii="Calibri" w:hAnsi="Calibri" w:eastAsia="Arial,Bold"/>
                <w:b/>
                <w:i w:val="0"/>
                <w:color w:val="FFFFFF"/>
                <w:sz w:val="20"/>
              </w:rPr>
              <w:t>employé</w:t>
            </w:r>
          </w:p>
        </w:tc>
        <w:tc>
          <w:tcPr>
            <w:tcW w:type="dxa" w:w="2858"/>
            <w:tcBorders>
              <w:start w:sz="0.8000000000001819" w:val="single" w:color="#AAAAAA"/>
              <w:end w:sz="0.8000000000001819" w:val="single" w:color="#AAAAAA"/>
              <w:bottom w:sz="1.6000000000003638"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Coût annuel + bonus</w:t>
            </w:r>
          </w:p>
        </w:tc>
      </w:tr>
      <w:tr>
        <w:trPr>
          <w:trHeight w:hRule="exact" w:val="728"/>
        </w:trPr>
        <w:tc>
          <w:tcPr>
            <w:tcW w:type="dxa" w:w="4000"/>
            <w:tcBorders>
              <w:start w:sz="0.7999999999999545" w:val="single" w:color="#AAAAAA"/>
              <w:top w:sz="1.6000000000003638" w:val="single" w:color="#AAAAAA"/>
              <w:end w:sz="1.6000000000003638" w:val="single" w:color="#AAAAAA"/>
              <w:bottom w:sz="0.7999999999997272"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Site B (Non Applicable - Point de vente unique)</w:t>
            </w:r>
          </w:p>
        </w:tc>
        <w:tc>
          <w:tcPr>
            <w:tcW w:type="dxa" w:w="2502"/>
            <w:tcBorders>
              <w:start w:sz="1.6000000000003638" w:val="single" w:color="#AAAAAA"/>
              <w:top w:sz="1.6000000000003638" w:val="single" w:color="#AAAAAA"/>
              <w:end w:sz="0.8000000000001819" w:val="single" w:color="#AAAAAA"/>
              <w:bottom w:sz="0.7999999999997272"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2858"/>
            <w:tcBorders>
              <w:start w:sz="0.8000000000001819" w:val="single" w:color="#AAAAAA"/>
              <w:top w:sz="1.6000000000003638" w:val="single" w:color="#AAAAAA"/>
              <w:end w:sz="0.8000000000001819" w:val="single" w:color="#AAAAAA"/>
              <w:bottom w:sz="0.7999999999997272"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r>
    </w:tbl>
    <w:p>
      <w:pPr>
        <w:autoSpaceDN w:val="0"/>
        <w:autoSpaceDE w:val="0"/>
        <w:widowControl/>
        <w:spacing w:line="276" w:lineRule="auto" w:before="418" w:after="120"/>
        <w:ind w:left="30" w:right="0" w:firstLine="0"/>
        <w:jc w:val="left"/>
      </w:pPr>
      <w:r>
        <w:rPr>
          <w:rFonts w:ascii="Calibri" w:hAnsi="Calibri" w:eastAsia="Arial,Bold"/>
          <w:b/>
          <w:i w:val="0"/>
          <w:color w:val="333333"/>
          <w:sz w:val="22"/>
        </w:rPr>
        <w:t>Coût total — tous sites</w:t>
      </w:r>
    </w:p>
    <w:tbl>
      <w:tblPr>
        <w:tblW w:type="auto" w:w="0"/>
        <w:tblLayout w:type="fixed"/>
        <w:tblLook w:firstColumn="1" w:firstRow="1" w:lastColumn="0" w:lastRow="0" w:noHBand="0" w:noVBand="1" w:val="04A0"/>
        <w:tblInd w:w="20.0" w:type="dxa"/>
      </w:tblPr>
      <w:tblGrid>
        <w:gridCol w:w="4721"/>
        <w:gridCol w:w="4721"/>
      </w:tblGrid>
      <w:tr>
        <w:trPr>
          <w:trHeight w:hRule="exact" w:val="396"/>
        </w:trPr>
        <w:tc>
          <w:tcPr>
            <w:tcW w:type="dxa" w:w="4680"/>
            <w:tcBorders>
              <w:start w:sz="0.7999999999999545" w:val="single" w:color="#AAAAAA"/>
              <w:top w:sz="0.7999999999997272" w:val="single" w:color="#AAAAAA"/>
              <w:end w:sz="1.6000000000003638" w:val="single" w:color="#AAAAAA"/>
              <w:bottom w:sz="0.799999999999727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6" w:after="0"/>
              <w:ind w:left="120" w:right="0" w:firstLine="0"/>
              <w:jc w:val="center"/>
            </w:pPr>
            <w:r>
              <w:rPr>
                <w:rFonts w:ascii="Calibri" w:hAnsi="Calibri" w:eastAsia="Arial,Bold"/>
                <w:b/>
                <w:i w:val="0"/>
                <w:color w:val="FFFFFF"/>
                <w:sz w:val="20"/>
              </w:rPr>
              <w:t>Site</w:t>
            </w:r>
          </w:p>
        </w:tc>
        <w:tc>
          <w:tcPr>
            <w:tcW w:type="dxa" w:w="4680"/>
            <w:tcBorders>
              <w:start w:sz="1.6000000000003638" w:val="single" w:color="#AAAAAA"/>
              <w:top w:sz="0.7999999999997272" w:val="single" w:color="#AAAAAA"/>
              <w:end w:sz="0.8000000000001819" w:val="single" w:color="#AAAAAA"/>
              <w:bottom w:sz="0.799999999999727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6" w:after="0"/>
              <w:ind w:left="118" w:right="0" w:firstLine="0"/>
              <w:jc w:val="center"/>
            </w:pPr>
            <w:r>
              <w:rPr>
                <w:rFonts w:ascii="Calibri" w:hAnsi="Calibri" w:eastAsia="Arial,Bold"/>
                <w:b/>
                <w:i w:val="0"/>
                <w:color w:val="FFFFFF"/>
                <w:sz w:val="20"/>
              </w:rPr>
              <w:t>Coût total ($)</w:t>
            </w:r>
          </w:p>
        </w:tc>
      </w:tr>
      <w:tr>
        <w:trPr>
          <w:trHeight w:hRule="exact" w:val="702"/>
        </w:trPr>
        <w:tc>
          <w:tcPr>
            <w:tcW w:type="dxa" w:w="4680"/>
            <w:tcBorders>
              <w:start w:sz="0.7999999999999545" w:val="single" w:color="#AAAAAA"/>
              <w:top w:sz="0.7999999999997272" w:val="single" w:color="#AAAAAA"/>
              <w:end w:sz="1.6000000000003638" w:val="single" w:color="#AAAAAA"/>
              <w:bottom w:sz="1.6000000000003638"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Site A (Cayes-Jacmel)</w:t>
              <w:br/>
              <w:t>Site B (Non Applicable)</w:t>
            </w:r>
          </w:p>
        </w:tc>
        <w:tc>
          <w:tcPr>
            <w:tcW w:type="dxa" w:w="4680"/>
            <w:tcBorders>
              <w:start w:sz="1.6000000000003638" w:val="single" w:color="#AAAAAA"/>
              <w:top w:sz="0.7999999999997272" w:val="single" w:color="#AAAAAA"/>
              <w:end w:sz="0.8000000000001819" w:val="single" w:color="#AAAAAA"/>
              <w:bottom w:sz="1.6000000000003638"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520 000 HTG</w:t>
              <w:br/>
              <w:t>0 HTG</w:t>
            </w:r>
          </w:p>
        </w:tc>
      </w:tr>
    </w:tbl>
    <w:p>
      <w:pPr>
        <w:autoSpaceDN w:val="0"/>
        <w:autoSpaceDE w:val="0"/>
        <w:widowControl/>
        <w:spacing w:line="276" w:lineRule="auto" w:before="0" w:after="120"/>
        <w:ind w:left="0" w:right="0"/>
      </w:pPr>
    </w:p>
    <w:tbl>
      <w:tblPr>
        <w:tblW w:type="auto" w:w="0"/>
        <w:tblLayout w:type="fixed"/>
        <w:tblLook w:firstColumn="1" w:firstRow="1" w:lastColumn="0" w:lastRow="0" w:noHBand="0" w:noVBand="1" w:val="04A0"/>
        <w:tblInd w:w="20.0" w:type="dxa"/>
      </w:tblPr>
      <w:tblGrid>
        <w:gridCol w:w="4721"/>
        <w:gridCol w:w="4721"/>
      </w:tblGrid>
      <w:tr>
        <w:trPr>
          <w:trHeight w:hRule="exact" w:val="1054"/>
        </w:trPr>
        <w:tc>
          <w:tcPr>
            <w:tcW w:type="dxa" w:w="2770"/>
            <w:tcBorders/>
            <w:tcMar>
              <w:start w:w="0" w:type="dxa"/>
              <w:end w:w="0" w:type="dxa"/>
            </w:tcMar>
            <w:tcMar>
              <w:top w:w="80" w:type="dxa"/>
              <w:bottom w:w="80" w:type="dxa"/>
              <w:left w:w="120" w:type="dxa"/>
              <w:right w:w="120" w:type="dxa"/>
            </w:tcMar>
            <w:shd w:val="clear" w:color="auto" w:fill="1B365D"/>
          </w:tcPr>
          <w:p>
            <w:pPr>
              <w:jc w:val="center"/>
            </w:pPr>
            <w:r>
              <w:rPr>
                <w:rFonts w:ascii="Calibri" w:hAnsi="Calibri"/>
                <w:b/>
                <w:color w:val="FFFFFF"/>
              </w:rPr>
              <w:t>Site C (Non Applicable)</w:t>
            </w:r>
          </w:p>
        </w:tc>
        <w:tc>
          <w:tcPr>
            <w:tcW w:type="dxa" w:w="6592"/>
            <w:tcBorders/>
            <w:tcMar>
              <w:start w:w="0" w:type="dxa"/>
              <w:end w:w="0" w:type="dxa"/>
            </w:tcMar>
            <w:tcMar>
              <w:top w:w="80" w:type="dxa"/>
              <w:bottom w:w="80" w:type="dxa"/>
              <w:left w:w="120" w:type="dxa"/>
              <w:right w:w="120" w:type="dxa"/>
            </w:tcMar>
            <w:shd w:val="clear" w:color="auto" w:fill="1B365D"/>
          </w:tcPr>
          <w:p>
            <w:pPr>
              <w:jc w:val="center"/>
            </w:pPr>
            <w:r>
              <w:rPr>
                <w:rFonts w:ascii="Calibri" w:hAnsi="Calibri"/>
                <w:b/>
                <w:color w:val="FFFFFF"/>
              </w:rPr>
              <w:t>0 HTG</w:t>
            </w:r>
          </w:p>
        </w:tc>
      </w:tr>
      <w:tr>
        <w:trPr>
          <w:trHeight w:hRule="exact" w:val="348"/>
        </w:trPr>
        <w:tc>
          <w:tcPr>
            <w:tcW w:type="dxa" w:w="2770"/>
            <w:tcBorders/>
            <w:shd w:fill="ffffff"/>
            <w:tcMar>
              <w:start w:w="0" w:type="dxa"/>
              <w:end w:w="0" w:type="dxa"/>
            </w:tcMar>
            <w:tcMar>
              <w:top w:w="80" w:type="dxa"/>
              <w:bottom w:w="80" w:type="dxa"/>
              <w:left w:w="120" w:type="dxa"/>
              <w:right w:w="120" w:type="dxa"/>
            </w:tcMar>
            <w:shd w:val="clear" w:color="auto" w:fill="F4F7F6"/>
          </w:tcPr>
          <w:p>
            <w:r>
              <w:rPr>
                <w:rFonts w:ascii="Calibri" w:hAnsi="Calibri"/>
                <w:color w:val="333333"/>
              </w:rPr>
              <w:t>TOTAL</w:t>
            </w:r>
          </w:p>
        </w:tc>
        <w:tc>
          <w:tcPr>
            <w:tcW w:type="dxa" w:w="6592"/>
            <w:tcBorders/>
            <w:shd w:fill="ffffff"/>
            <w:tcMar>
              <w:start w:w="0" w:type="dxa"/>
              <w:end w:w="0" w:type="dxa"/>
            </w:tcMar>
            <w:tcMar>
              <w:top w:w="80" w:type="dxa"/>
              <w:bottom w:w="80" w:type="dxa"/>
              <w:left w:w="120" w:type="dxa"/>
              <w:right w:w="120" w:type="dxa"/>
            </w:tcMar>
            <w:shd w:val="clear" w:color="auto" w:fill="F4F7F6"/>
          </w:tcPr>
          <w:p>
            <w:r>
              <w:rPr>
                <w:rFonts w:ascii="Calibri" w:hAnsi="Calibri"/>
                <w:color w:val="333333"/>
              </w:rPr>
              <w:t>520 000 HTG</w:t>
            </w:r>
          </w:p>
        </w:tc>
      </w:tr>
    </w:tbl>
    <w:p>
      <w:pPr>
        <w:autoSpaceDN w:val="0"/>
        <w:autoSpaceDE w:val="0"/>
        <w:widowControl/>
        <w:spacing w:line="276" w:lineRule="auto" w:before="180" w:after="120"/>
        <w:ind w:left="30" w:right="3312" w:firstLine="0"/>
        <w:jc w:val="left"/>
      </w:pPr>
      <w:r>
        <w:rPr>
          <w:rFonts w:ascii="Calibri" w:hAnsi="Calibri" w:eastAsia="Arial,Bold"/>
          <w:b/>
          <w:i w:val="0"/>
          <w:color w:val="333333"/>
          <w:sz w:val="22"/>
        </w:rPr>
        <w:t xml:space="preserve">6.2 Coûts des solutions informatiques (2, 3, 4) </w:t>
      </w:r>
      <w:r>
        <w:rPr>
          <w:rFonts w:ascii="Calibri" w:hAnsi="Calibri"/>
          <w:color w:val="333333"/>
          <w:sz w:val="22"/>
        </w:rPr>
        <w:br/>
      </w:r>
      <w:r>
        <w:rPr>
          <w:rFonts w:ascii="Calibri" w:hAnsi="Calibri" w:eastAsia="Arial,Bold"/>
          <w:b/>
          <w:i w:val="0"/>
          <w:color w:val="333333"/>
          <w:sz w:val="22"/>
        </w:rPr>
        <w:t>Coûts des équipements (communs aux solutions 2, 3 et 4)</w:t>
      </w:r>
    </w:p>
    <w:tbl>
      <w:tblPr>
        <w:tblW w:type="auto" w:w="0"/>
        <w:tblLayout w:type="fixed"/>
        <w:tblLook w:firstColumn="1" w:firstRow="1" w:lastColumn="0" w:lastRow="0" w:noHBand="0" w:noVBand="1" w:val="04A0"/>
        <w:tblInd w:w="20.0" w:type="dxa"/>
      </w:tblPr>
      <w:tblGrid>
        <w:gridCol w:w="2360"/>
        <w:gridCol w:w="2360"/>
        <w:gridCol w:w="2360"/>
        <w:gridCol w:w="2360"/>
      </w:tblGrid>
      <w:tr>
        <w:trPr>
          <w:trHeight w:hRule="exact" w:val="394"/>
        </w:trPr>
        <w:tc>
          <w:tcPr>
            <w:tcW w:type="dxa" w:w="3500"/>
            <w:tcBorders>
              <w:start w:sz="0.7999999999999545" w:val="single" w:color="#AAAAAA"/>
              <w:top w:sz="0.8000000000001819" w:val="single" w:color="#AAAAAA"/>
              <w:end w:sz="1.599999999999909"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20" w:right="0" w:firstLine="0"/>
              <w:jc w:val="center"/>
            </w:pPr>
            <w:r>
              <w:rPr>
                <w:rFonts w:ascii="Calibri" w:hAnsi="Calibri" w:eastAsia="Arial,Bold"/>
                <w:b/>
                <w:i w:val="0"/>
                <w:color w:val="FFFFFF"/>
                <w:sz w:val="20"/>
              </w:rPr>
              <w:t>Équipement</w:t>
            </w:r>
          </w:p>
        </w:tc>
        <w:tc>
          <w:tcPr>
            <w:tcW w:type="dxa" w:w="1200"/>
            <w:tcBorders>
              <w:start w:sz="1.599999999999909" w:val="single" w:color="#AAAAAA"/>
              <w:top w:sz="0.8000000000001819" w:val="single" w:color="#AAAAAA"/>
              <w:end w:sz="1.6000000000003638"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20" w:right="0" w:firstLine="0"/>
              <w:jc w:val="center"/>
            </w:pPr>
            <w:r>
              <w:rPr>
                <w:rFonts w:ascii="Calibri" w:hAnsi="Calibri" w:eastAsia="Arial,Bold"/>
                <w:b/>
                <w:i w:val="0"/>
                <w:color w:val="FFFFFF"/>
                <w:sz w:val="20"/>
              </w:rPr>
              <w:t>Quantité</w:t>
            </w:r>
          </w:p>
        </w:tc>
        <w:tc>
          <w:tcPr>
            <w:tcW w:type="dxa" w:w="2202"/>
            <w:tcBorders>
              <w:start w:sz="1.6000000000003638" w:val="single" w:color="#AAAAAA"/>
              <w:top w:sz="0.8000000000001819" w:val="single" w:color="#AAAAAA"/>
              <w:end w:sz="0.8000000000001819"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Prix unitaire ($)</w:t>
            </w:r>
          </w:p>
        </w:tc>
        <w:tc>
          <w:tcPr>
            <w:tcW w:type="dxa" w:w="2458"/>
            <w:tcBorders>
              <w:start w:sz="0.8000000000001819" w:val="single" w:color="#AAAAAA"/>
              <w:top w:sz="0.8000000000001819" w:val="single" w:color="#AAAAAA"/>
              <w:end w:sz="0.8000000000001819"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Coût total ($)</w:t>
            </w:r>
          </w:p>
        </w:tc>
      </w:tr>
      <w:tr>
        <w:trPr>
          <w:trHeight w:hRule="exact" w:val="350"/>
        </w:trPr>
        <w:tc>
          <w:tcPr>
            <w:tcW w:type="dxa" w:w="3500"/>
            <w:tcBorders>
              <w:start w:sz="0.7999999999999545" w:val="single" w:color="#AAAAAA"/>
              <w:top w:sz="0.8000000000001819" w:val="single" w:color="#AAAAAA"/>
              <w:end w:sz="1.59999999999990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2" w:after="0"/>
              <w:ind w:left="120" w:right="0" w:firstLine="0"/>
              <w:jc w:val="left"/>
            </w:pPr>
            <w:r>
              <w:rPr>
                <w:rFonts w:ascii="Calibri" w:hAnsi="Calibri" w:eastAsia="Arial"/>
                <w:b w:val="0"/>
                <w:i w:val="0"/>
                <w:color w:val="333333"/>
                <w:sz w:val="20"/>
              </w:rPr>
              <w:t>Serveurs</w:t>
            </w:r>
          </w:p>
        </w:tc>
        <w:tc>
          <w:tcPr>
            <w:tcW w:type="dxa" w:w="1200"/>
            <w:tcBorders>
              <w:start w:sz="1.599999999999909" w:val="single" w:color="#AAAAAA"/>
              <w:top w:sz="0.8000000000001819"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w:t>
            </w:r>
          </w:p>
        </w:tc>
        <w:tc>
          <w:tcPr>
            <w:tcW w:type="dxa" w:w="2202"/>
            <w:tcBorders>
              <w:start w:sz="1.6000000000003638"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2458"/>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r>
      <w:tr>
        <w:trPr>
          <w:trHeight w:hRule="exact" w:val="354"/>
        </w:trPr>
        <w:tc>
          <w:tcPr>
            <w:tcW w:type="dxa" w:w="3500"/>
            <w:tcBorders>
              <w:start w:sz="0.7999999999999545" w:val="single" w:color="#AAAAAA"/>
              <w:top w:sz="0.8000000000001819" w:val="single" w:color="#AAAAAA"/>
              <w:end w:sz="1.599999999999909" w:val="single" w:color="#AAAAAA"/>
              <w:bottom w:sz="0.8000000000001819"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33" w:lineRule="auto" w:before="64" w:after="0"/>
              <w:ind w:left="120" w:right="0" w:firstLine="0"/>
              <w:jc w:val="left"/>
            </w:pPr>
            <w:r>
              <w:rPr>
                <w:rFonts w:ascii="Calibri" w:hAnsi="Calibri" w:eastAsia="Arial"/>
                <w:b w:val="0"/>
                <w:i w:val="0"/>
                <w:color w:val="333333"/>
                <w:sz w:val="20"/>
              </w:rPr>
              <w:t>Ordinateurs</w:t>
            </w:r>
          </w:p>
        </w:tc>
        <w:tc>
          <w:tcPr>
            <w:tcW w:type="dxa" w:w="1200"/>
            <w:tcBorders>
              <w:start w:sz="1.599999999999909" w:val="single" w:color="#AAAAAA"/>
              <w:top w:sz="0.8000000000001819"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w:t>
            </w:r>
          </w:p>
        </w:tc>
        <w:tc>
          <w:tcPr>
            <w:tcW w:type="dxa" w:w="2202"/>
            <w:tcBorders>
              <w:start w:sz="1.6000000000003638"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65 000 HTG</w:t>
            </w:r>
          </w:p>
        </w:tc>
        <w:tc>
          <w:tcPr>
            <w:tcW w:type="dxa" w:w="2458"/>
            <w:tcBorders>
              <w:start w:sz="0.8000000000001819"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65 000 HTG</w:t>
            </w:r>
          </w:p>
        </w:tc>
      </w:tr>
      <w:tr>
        <w:trPr>
          <w:trHeight w:hRule="exact" w:val="350"/>
        </w:trPr>
        <w:tc>
          <w:tcPr>
            <w:tcW w:type="dxa" w:w="3500"/>
            <w:tcBorders>
              <w:start w:sz="0.7999999999999545" w:val="single" w:color="#AAAAAA"/>
              <w:top w:sz="0.8000000000001819" w:val="single" w:color="#AAAAAA"/>
              <w:end w:sz="1.599999999999909"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0" w:after="0"/>
              <w:ind w:left="120" w:right="0" w:firstLine="0"/>
              <w:jc w:val="left"/>
            </w:pPr>
            <w:r>
              <w:rPr>
                <w:rFonts w:ascii="Calibri" w:hAnsi="Calibri" w:eastAsia="Arial"/>
                <w:b w:val="0"/>
                <w:i w:val="0"/>
                <w:color w:val="333333"/>
                <w:sz w:val="20"/>
              </w:rPr>
              <w:t>Routeurs</w:t>
            </w:r>
          </w:p>
        </w:tc>
        <w:tc>
          <w:tcPr>
            <w:tcW w:type="dxa" w:w="1200"/>
            <w:tcBorders>
              <w:start w:sz="1.599999999999909" w:val="single" w:color="#AAAAAA"/>
              <w:top w:sz="0.8000000000001819" w:val="single" w:color="#AAAAAA"/>
              <w:end w:sz="1.6000000000003638"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w:t>
            </w:r>
          </w:p>
        </w:tc>
        <w:tc>
          <w:tcPr>
            <w:tcW w:type="dxa" w:w="2202"/>
            <w:tcBorders>
              <w:start w:sz="1.6000000000003638" w:val="single" w:color="#AAAAAA"/>
              <w:top w:sz="0.8000000000001819" w:val="single" w:color="#AAAAAA"/>
              <w:end w:sz="0.8000000000001819"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8 000 HTG</w:t>
            </w:r>
          </w:p>
        </w:tc>
        <w:tc>
          <w:tcPr>
            <w:tcW w:type="dxa" w:w="2458"/>
            <w:tcBorders>
              <w:start w:sz="0.8000000000001819" w:val="single" w:color="#AAAAAA"/>
              <w:top w:sz="0.8000000000001819" w:val="single" w:color="#AAAAAA"/>
              <w:end w:sz="0.8000000000001819"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8 000 HTG</w:t>
            </w:r>
          </w:p>
        </w:tc>
      </w:tr>
      <w:tr>
        <w:trPr>
          <w:trHeight w:hRule="exact" w:val="352"/>
        </w:trPr>
        <w:tc>
          <w:tcPr>
            <w:tcW w:type="dxa" w:w="3500"/>
            <w:tcBorders>
              <w:start w:sz="0.7999999999999545" w:val="single" w:color="#AAAAAA"/>
              <w:top w:sz="0.7999999999992724" w:val="single" w:color="#AAAAAA"/>
              <w:end w:sz="1.599999999999909" w:val="single" w:color="#AAAAAA"/>
              <w:bottom w:sz="0.8000000000001819"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33" w:lineRule="auto" w:before="64" w:after="0"/>
              <w:ind w:left="120" w:right="0" w:firstLine="0"/>
              <w:jc w:val="left"/>
            </w:pPr>
            <w:r>
              <w:rPr>
                <w:rFonts w:ascii="Calibri" w:hAnsi="Calibri" w:eastAsia="Arial"/>
                <w:b w:val="0"/>
                <w:i w:val="0"/>
                <w:color w:val="333333"/>
                <w:sz w:val="20"/>
              </w:rPr>
              <w:t>Antennes Internet</w:t>
            </w:r>
          </w:p>
        </w:tc>
        <w:tc>
          <w:tcPr>
            <w:tcW w:type="dxa" w:w="1200"/>
            <w:tcBorders>
              <w:start w:sz="1.599999999999909" w:val="single" w:color="#AAAAAA"/>
              <w:top w:sz="0.7999999999992724"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w:t>
            </w:r>
          </w:p>
        </w:tc>
        <w:tc>
          <w:tcPr>
            <w:tcW w:type="dxa" w:w="2202"/>
            <w:tcBorders>
              <w:start w:sz="1.6000000000003638" w:val="single" w:color="#AAAAAA"/>
              <w:top w:sz="0.7999999999992724"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c>
          <w:tcPr>
            <w:tcW w:type="dxa" w:w="2458"/>
            <w:tcBorders>
              <w:start w:sz="0.8000000000001819" w:val="single" w:color="#AAAAAA"/>
              <w:top w:sz="0.7999999999992724"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r>
      <w:tr>
        <w:trPr>
          <w:trHeight w:hRule="exact" w:val="354"/>
        </w:trPr>
        <w:tc>
          <w:tcPr>
            <w:tcW w:type="dxa" w:w="3500"/>
            <w:tcBorders>
              <w:start w:sz="0.7999999999999545" w:val="single" w:color="#AAAAAA"/>
              <w:top w:sz="0.8000000000001819" w:val="single" w:color="#AAAAAA"/>
              <w:end w:sz="1.59999999999990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4" w:after="0"/>
              <w:ind w:left="120" w:right="0" w:firstLine="0"/>
              <w:jc w:val="left"/>
            </w:pPr>
            <w:r>
              <w:rPr>
                <w:rFonts w:ascii="Calibri" w:hAnsi="Calibri" w:eastAsia="Arial"/>
                <w:b w:val="0"/>
                <w:i w:val="0"/>
                <w:color w:val="333333"/>
                <w:sz w:val="20"/>
              </w:rPr>
              <w:t>Génératrices</w:t>
            </w:r>
          </w:p>
        </w:tc>
        <w:tc>
          <w:tcPr>
            <w:tcW w:type="dxa" w:w="1200"/>
            <w:tcBorders>
              <w:start w:sz="1.599999999999909" w:val="single" w:color="#AAAAAA"/>
              <w:top w:sz="0.8000000000001819"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w:t>
            </w:r>
          </w:p>
        </w:tc>
        <w:tc>
          <w:tcPr>
            <w:tcW w:type="dxa" w:w="2202"/>
            <w:tcBorders>
              <w:start w:sz="1.6000000000003638"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2458"/>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r>
      <w:tr>
        <w:trPr>
          <w:trHeight w:hRule="exact" w:val="350"/>
        </w:trPr>
        <w:tc>
          <w:tcPr>
            <w:tcW w:type="dxa" w:w="3500"/>
            <w:tcBorders>
              <w:start w:sz="0.7999999999999545" w:val="single" w:color="#AAAAAA"/>
              <w:top w:sz="0.8000000000001819" w:val="single" w:color="#AAAAAA"/>
              <w:end w:sz="1.599999999999909" w:val="single" w:color="#AAAAAA"/>
              <w:bottom w:sz="0.8000000000001819"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33" w:lineRule="auto" w:before="62" w:after="0"/>
              <w:ind w:left="120" w:right="0" w:firstLine="0"/>
              <w:jc w:val="left"/>
            </w:pPr>
            <w:r>
              <w:rPr>
                <w:rFonts w:ascii="Calibri" w:hAnsi="Calibri" w:eastAsia="Arial"/>
                <w:b w:val="0"/>
                <w:i w:val="0"/>
                <w:color w:val="333333"/>
                <w:sz w:val="20"/>
              </w:rPr>
              <w:t>Imprimantes</w:t>
            </w:r>
          </w:p>
        </w:tc>
        <w:tc>
          <w:tcPr>
            <w:tcW w:type="dxa" w:w="1200"/>
            <w:tcBorders>
              <w:start w:sz="1.599999999999909" w:val="single" w:color="#AAAAAA"/>
              <w:top w:sz="0.8000000000001819"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w:t>
            </w:r>
          </w:p>
        </w:tc>
        <w:tc>
          <w:tcPr>
            <w:tcW w:type="dxa" w:w="2202"/>
            <w:tcBorders>
              <w:start w:sz="1.6000000000003638"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15 000 HTG</w:t>
            </w:r>
          </w:p>
        </w:tc>
        <w:tc>
          <w:tcPr>
            <w:tcW w:type="dxa" w:w="2458"/>
            <w:tcBorders>
              <w:start w:sz="0.8000000000001819"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15 000 HTG</w:t>
            </w:r>
          </w:p>
        </w:tc>
      </w:tr>
      <w:tr>
        <w:trPr>
          <w:trHeight w:hRule="exact" w:val="354"/>
        </w:trPr>
        <w:tc>
          <w:tcPr>
            <w:tcW w:type="dxa" w:w="3500"/>
            <w:tcBorders>
              <w:start w:sz="0.7999999999999545" w:val="single" w:color="#AAAAAA"/>
              <w:top w:sz="0.8000000000001819" w:val="single" w:color="#AAAAAA"/>
              <w:end w:sz="1.59999999999990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4" w:after="0"/>
              <w:ind w:left="120" w:right="0" w:firstLine="0"/>
              <w:jc w:val="left"/>
            </w:pPr>
            <w:r>
              <w:rPr>
                <w:rFonts w:ascii="Calibri" w:hAnsi="Calibri" w:eastAsia="Arial"/>
                <w:b w:val="0"/>
                <w:i w:val="0"/>
                <w:color w:val="333333"/>
                <w:sz w:val="20"/>
              </w:rPr>
              <w:t>UPS</w:t>
            </w:r>
          </w:p>
        </w:tc>
        <w:tc>
          <w:tcPr>
            <w:tcW w:type="dxa" w:w="1200"/>
            <w:tcBorders>
              <w:start w:sz="1.599999999999909" w:val="single" w:color="#AAAAAA"/>
              <w:top w:sz="0.8000000000001819"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w:t>
            </w:r>
          </w:p>
        </w:tc>
        <w:tc>
          <w:tcPr>
            <w:tcW w:type="dxa" w:w="2202"/>
            <w:tcBorders>
              <w:start w:sz="1.6000000000003638"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2458"/>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r>
      <w:tr>
        <w:trPr>
          <w:trHeight w:hRule="exact" w:val="350"/>
        </w:trPr>
        <w:tc>
          <w:tcPr>
            <w:tcW w:type="dxa" w:w="3500"/>
            <w:tcBorders>
              <w:start w:sz="0.7999999999999545" w:val="single" w:color="#AAAAAA"/>
              <w:top w:sz="0.8000000000001819" w:val="single" w:color="#AAAAAA"/>
              <w:end w:sz="1.599999999999909" w:val="single" w:color="#AAAAAA"/>
              <w:bottom w:sz="0.7999999999992724"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33" w:lineRule="auto" w:before="62" w:after="0"/>
              <w:ind w:left="120" w:right="0" w:firstLine="0"/>
              <w:jc w:val="left"/>
            </w:pPr>
            <w:r>
              <w:rPr>
                <w:rFonts w:ascii="Calibri" w:hAnsi="Calibri" w:eastAsia="Arial"/>
                <w:b w:val="0"/>
                <w:i w:val="0"/>
                <w:color w:val="333333"/>
                <w:sz w:val="20"/>
              </w:rPr>
              <w:t>Caméras</w:t>
            </w:r>
          </w:p>
        </w:tc>
        <w:tc>
          <w:tcPr>
            <w:tcW w:type="dxa" w:w="1200"/>
            <w:tcBorders>
              <w:start w:sz="1.599999999999909" w:val="single" w:color="#AAAAAA"/>
              <w:top w:sz="0.8000000000001819" w:val="single" w:color="#AAAAAA"/>
              <w:end w:sz="1.6000000000003638" w:val="single" w:color="#AAAAAA"/>
              <w:bottom w:sz="0.7999999999992724"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w:t>
            </w:r>
          </w:p>
        </w:tc>
        <w:tc>
          <w:tcPr>
            <w:tcW w:type="dxa" w:w="2202"/>
            <w:tcBorders>
              <w:start w:sz="1.6000000000003638" w:val="single" w:color="#AAAAAA"/>
              <w:top w:sz="0.8000000000001819" w:val="single" w:color="#AAAAAA"/>
              <w:end w:sz="0.8000000000001819" w:val="single" w:color="#AAAAAA"/>
              <w:bottom w:sz="0.7999999999992724"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c>
          <w:tcPr>
            <w:tcW w:type="dxa" w:w="2458"/>
            <w:tcBorders>
              <w:start w:sz="0.8000000000001819" w:val="single" w:color="#AAAAAA"/>
              <w:top w:sz="0.8000000000001819" w:val="single" w:color="#AAAAAA"/>
              <w:end w:sz="0.8000000000001819" w:val="single" w:color="#AAAAAA"/>
              <w:bottom w:sz="0.7999999999992724"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r>
      <w:tr>
        <w:trPr>
          <w:trHeight w:hRule="exact" w:val="352"/>
        </w:trPr>
        <w:tc>
          <w:tcPr>
            <w:tcW w:type="dxa" w:w="3500"/>
            <w:tcBorders>
              <w:start w:sz="0.7999999999999545" w:val="single" w:color="#AAAAAA"/>
              <w:top w:sz="0.7999999999992724" w:val="single" w:color="#AAAAAA"/>
              <w:end w:sz="1.59999999999990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6" w:after="0"/>
              <w:ind w:left="120" w:right="0" w:firstLine="0"/>
              <w:jc w:val="left"/>
            </w:pPr>
            <w:r>
              <w:rPr>
                <w:rFonts w:ascii="Calibri" w:hAnsi="Calibri" w:eastAsia="Arial"/>
                <w:b w:val="0"/>
                <w:i w:val="0"/>
                <w:color w:val="333333"/>
                <w:sz w:val="20"/>
              </w:rPr>
              <w:t>Autres</w:t>
            </w:r>
          </w:p>
        </w:tc>
        <w:tc>
          <w:tcPr>
            <w:tcW w:type="dxa" w:w="1200"/>
            <w:tcBorders>
              <w:start w:sz="1.599999999999909" w:val="single" w:color="#AAAAAA"/>
              <w:top w:sz="0.7999999999992724"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w:t>
            </w:r>
          </w:p>
        </w:tc>
        <w:tc>
          <w:tcPr>
            <w:tcW w:type="dxa" w:w="2202"/>
            <w:tcBorders>
              <w:start w:sz="1.6000000000003638" w:val="single" w:color="#AAAAAA"/>
              <w:top w:sz="0.7999999999992724"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w:t>
            </w:r>
          </w:p>
        </w:tc>
        <w:tc>
          <w:tcPr>
            <w:tcW w:type="dxa" w:w="2458"/>
            <w:tcBorders>
              <w:start w:sz="0.8000000000001819" w:val="single" w:color="#AAAAAA"/>
              <w:top w:sz="0.7999999999992724"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r>
    </w:tbl>
    <w:p>
      <w:pPr>
        <w:spacing w:line="276" w:lineRule="auto" w:after="120"/>
        <w:sectPr>
          <w:pgSz w:w="12240" w:h="15840"/>
          <w:pgMar w:top="1152" w:right="1440" w:bottom="1152" w:left="1440" w:header="720" w:footer="720" w:gutter="0"/>
          <w:cols/>
          <w:docGrid w:linePitch="360"/>
        </w:sectPr>
      </w:pPr>
    </w:p>
    <w:tbl>
      <w:tblPr>
        <w:tblW w:type="auto" w:w="0"/>
        <w:tblLayout w:type="fixed"/>
        <w:tblLook w:firstColumn="1" w:firstRow="1" w:lastColumn="0" w:lastRow="0" w:noHBand="0" w:noVBand="1" w:val="04A0"/>
        <w:tblInd w:w="20.0" w:type="dxa"/>
      </w:tblPr>
      <w:tblGrid>
        <w:gridCol w:w="2360"/>
        <w:gridCol w:w="2360"/>
        <w:gridCol w:w="2360"/>
        <w:gridCol w:w="2360"/>
      </w:tblGrid>
      <w:tr>
        <w:trPr>
          <w:trHeight w:hRule="exact" w:val="394"/>
        </w:trPr>
        <w:tc>
          <w:tcPr>
            <w:tcW w:type="dxa" w:w="3500"/>
            <w:tcBorders>
              <w:start w:sz="0.7999999999999545" w:val="single" w:color="#AAAAAA"/>
              <w:top w:sz="0.7999999999999545" w:val="single" w:color="#AAAAAA"/>
              <w:end w:sz="1.599999999999909" w:val="single" w:color="#AAAAAA"/>
              <w:bottom w:sz="0.800000000000068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20" w:right="0" w:firstLine="0"/>
              <w:jc w:val="center"/>
            </w:pPr>
            <w:r>
              <w:rPr>
                <w:rFonts w:ascii="Calibri" w:hAnsi="Calibri" w:eastAsia="Arial,Bold"/>
                <w:b/>
                <w:i w:val="0"/>
                <w:color w:val="FFFFFF"/>
                <w:sz w:val="20"/>
              </w:rPr>
              <w:t>Équipement</w:t>
            </w:r>
          </w:p>
        </w:tc>
        <w:tc>
          <w:tcPr>
            <w:tcW w:type="dxa" w:w="1200"/>
            <w:tcBorders>
              <w:start w:sz="1.599999999999909" w:val="single" w:color="#AAAAAA"/>
              <w:top w:sz="0.7999999999999545" w:val="single" w:color="#AAAAAA"/>
              <w:end w:sz="1.6000000000003638" w:val="single" w:color="#AAAAAA"/>
              <w:bottom w:sz="0.800000000000068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20" w:right="0" w:firstLine="0"/>
              <w:jc w:val="center"/>
            </w:pPr>
            <w:r>
              <w:rPr>
                <w:rFonts w:ascii="Calibri" w:hAnsi="Calibri" w:eastAsia="Arial,Bold"/>
                <w:b/>
                <w:i w:val="0"/>
                <w:color w:val="FFFFFF"/>
                <w:sz w:val="20"/>
              </w:rPr>
              <w:t>Quantité</w:t>
            </w:r>
          </w:p>
        </w:tc>
        <w:tc>
          <w:tcPr>
            <w:tcW w:type="dxa" w:w="2202"/>
            <w:tcBorders>
              <w:start w:sz="1.6000000000003638" w:val="single" w:color="#AAAAAA"/>
              <w:top w:sz="0.7999999999999545" w:val="single" w:color="#AAAAAA"/>
              <w:end w:sz="0.8000000000001819" w:val="single" w:color="#AAAAAA"/>
              <w:bottom w:sz="0.800000000000068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Prix unitaire ($)</w:t>
            </w:r>
          </w:p>
        </w:tc>
        <w:tc>
          <w:tcPr>
            <w:tcW w:type="dxa" w:w="2458"/>
            <w:tcBorders>
              <w:start w:sz="0.8000000000001819" w:val="single" w:color="#AAAAAA"/>
              <w:top w:sz="0.7999999999999545" w:val="single" w:color="#AAAAAA"/>
              <w:end w:sz="0.8000000000001819" w:val="single" w:color="#AAAAAA"/>
              <w:bottom w:sz="0.800000000000068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Coût total ($)</w:t>
            </w:r>
          </w:p>
        </w:tc>
      </w:tr>
      <w:tr>
        <w:trPr>
          <w:trHeight w:hRule="exact" w:val="350"/>
        </w:trPr>
        <w:tc>
          <w:tcPr>
            <w:tcW w:type="dxa" w:w="3500"/>
            <w:tcBorders>
              <w:start w:sz="0.7999999999999545" w:val="single" w:color="#AAAAAA"/>
              <w:top w:sz="0.8000000000000682" w:val="single" w:color="#AAAAAA"/>
              <w:end w:sz="1.599999999999909" w:val="single" w:color="#AAAAAA"/>
              <w:bottom w:sz="0.7999999999999545" w:val="single" w:color="#AAAAAA"/>
            </w:tcBorders>
            <w:shd w:fill="ffffff"/>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2" w:after="0"/>
              <w:ind w:left="120" w:right="0" w:firstLine="0"/>
              <w:jc w:val="left"/>
            </w:pPr>
            <w:r>
              <w:rPr>
                <w:rFonts w:ascii="Calibri" w:hAnsi="Calibri" w:eastAsia="Arial"/>
                <w:b w:val="0"/>
                <w:i w:val="0"/>
                <w:color w:val="333333"/>
                <w:sz w:val="20"/>
              </w:rPr>
              <w:t>TOTAL</w:t>
            </w:r>
          </w:p>
        </w:tc>
        <w:tc>
          <w:tcPr>
            <w:tcW w:type="dxa" w:w="1200"/>
            <w:tcBorders>
              <w:start w:sz="1.599999999999909" w:val="single" w:color="#AAAAAA"/>
              <w:top w:sz="0.8000000000000682" w:val="single" w:color="#AAAAAA"/>
              <w:end w:sz="1.6000000000003638" w:val="single" w:color="#AAAAAA"/>
              <w:bottom w:sz="0.7999999999999545" w:val="single" w:color="#AAAAAA"/>
            </w:tcBorders>
            <w:shd w:fill="ffffff"/>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2" w:after="0"/>
              <w:ind w:left="120" w:right="0" w:firstLine="0"/>
              <w:jc w:val="left"/>
            </w:pPr>
            <w:r>
              <w:rPr>
                <w:rFonts w:ascii="Calibri" w:hAnsi="Calibri" w:eastAsia="Arial"/>
                <w:b w:val="0"/>
                <w:i w:val="0"/>
                <w:color w:val="333333"/>
                <w:sz w:val="20"/>
              </w:rPr>
              <w:t>—</w:t>
            </w:r>
          </w:p>
        </w:tc>
        <w:tc>
          <w:tcPr>
            <w:tcW w:type="dxa" w:w="2202"/>
            <w:tcBorders>
              <w:start w:sz="1.6000000000003638" w:val="single" w:color="#AAAAAA"/>
              <w:top w:sz="0.8000000000000682"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2" w:after="0"/>
              <w:ind w:left="118" w:right="0" w:firstLine="0"/>
              <w:jc w:val="left"/>
            </w:pPr>
            <w:r>
              <w:rPr>
                <w:rFonts w:ascii="Calibri" w:hAnsi="Calibri" w:eastAsia="Arial"/>
                <w:b w:val="0"/>
                <w:i w:val="0"/>
                <w:color w:val="333333"/>
                <w:sz w:val="20"/>
              </w:rPr>
              <w:t>—</w:t>
            </w:r>
          </w:p>
        </w:tc>
        <w:tc>
          <w:tcPr>
            <w:tcW w:type="dxa" w:w="2458"/>
            <w:tcBorders>
              <w:start w:sz="0.8000000000001819" w:val="single" w:color="#AAAAAA"/>
              <w:top w:sz="0.8000000000000682"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shd w:val="clear" w:color="auto" w:fill="F4F7F6"/>
          </w:tcPr>
          <w:p>
            <w:r>
              <w:rPr>
                <w:rFonts w:ascii="Calibri" w:hAnsi="Calibri"/>
                <w:color w:val="333333"/>
              </w:rPr>
              <w:t>88 000 HTG</w:t>
            </w:r>
          </w:p>
        </w:tc>
      </w:tr>
    </w:tbl>
    <w:p>
      <w:pPr>
        <w:autoSpaceDN w:val="0"/>
        <w:autoSpaceDE w:val="0"/>
        <w:widowControl/>
        <w:spacing w:line="276" w:lineRule="auto" w:before="418" w:after="120"/>
        <w:ind w:left="30" w:right="0" w:firstLine="0"/>
        <w:jc w:val="left"/>
      </w:pPr>
      <w:r>
        <w:rPr>
          <w:rFonts w:ascii="Calibri" w:hAnsi="Calibri" w:eastAsia="Arial,Bold"/>
          <w:b/>
          <w:i w:val="0"/>
          <w:color w:val="333333"/>
          <w:sz w:val="22"/>
        </w:rPr>
        <w:t>Coûts non récurrents des logiciels</w:t>
      </w:r>
    </w:p>
    <w:tbl>
      <w:tblPr>
        <w:tblW w:type="auto" w:w="0"/>
        <w:tblLayout w:type="fixed"/>
        <w:tblLook w:firstColumn="1" w:firstRow="1" w:lastColumn="0" w:lastRow="0" w:noHBand="0" w:noVBand="1" w:val="04A0"/>
        <w:tblInd w:w="20.0" w:type="dxa"/>
      </w:tblPr>
      <w:tblGrid>
        <w:gridCol w:w="2360"/>
        <w:gridCol w:w="2360"/>
        <w:gridCol w:w="2360"/>
        <w:gridCol w:w="2360"/>
      </w:tblGrid>
      <w:tr>
        <w:trPr>
          <w:trHeight w:hRule="exact" w:val="390"/>
        </w:trPr>
        <w:tc>
          <w:tcPr>
            <w:tcW w:type="dxa" w:w="3500"/>
            <w:tcBorders>
              <w:start w:sz="0.7999999999999545" w:val="single" w:color="#AAAAAA"/>
              <w:top w:sz="0.7999999999999545" w:val="single" w:color="#AAAAAA"/>
              <w:end w:sz="1.59999999999990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Description</w:t>
            </w:r>
          </w:p>
        </w:tc>
        <w:tc>
          <w:tcPr>
            <w:tcW w:type="dxa" w:w="1800"/>
            <w:tcBorders>
              <w:start w:sz="1.599999999999909" w:val="single" w:color="#AAAAAA"/>
              <w:top w:sz="0.7999999999999545" w:val="single" w:color="#AAAAAA"/>
              <w:end w:sz="1.6000000000003638"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Solution 2 ($)</w:t>
            </w:r>
          </w:p>
        </w:tc>
        <w:tc>
          <w:tcPr>
            <w:tcW w:type="dxa" w:w="1802"/>
            <w:tcBorders>
              <w:start w:sz="1.6000000000003638"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18" w:right="0" w:firstLine="0"/>
              <w:jc w:val="center"/>
            </w:pPr>
            <w:r>
              <w:rPr>
                <w:rFonts w:ascii="Calibri" w:hAnsi="Calibri" w:eastAsia="Arial,Bold"/>
                <w:b/>
                <w:i w:val="0"/>
                <w:color w:val="FFFFFF"/>
                <w:sz w:val="20"/>
              </w:rPr>
              <w:t>Solution 3 ($)</w:t>
            </w:r>
          </w:p>
        </w:tc>
        <w:tc>
          <w:tcPr>
            <w:tcW w:type="dxa" w:w="2258"/>
            <w:tcBorders>
              <w:start w:sz="0.8000000000001819"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18" w:right="0" w:firstLine="0"/>
              <w:jc w:val="center"/>
            </w:pPr>
            <w:r>
              <w:rPr>
                <w:rFonts w:ascii="Calibri" w:hAnsi="Calibri" w:eastAsia="Arial,Bold"/>
                <w:b/>
                <w:i w:val="0"/>
                <w:color w:val="FFFFFF"/>
                <w:sz w:val="20"/>
              </w:rPr>
              <w:t>Solution 4 ($)</w:t>
            </w:r>
          </w:p>
        </w:tc>
      </w:tr>
      <w:tr>
        <w:trPr>
          <w:trHeight w:hRule="exact" w:val="354"/>
        </w:trPr>
        <w:tc>
          <w:tcPr>
            <w:tcW w:type="dxa" w:w="3500"/>
            <w:tcBorders>
              <w:start w:sz="0.7999999999999545" w:val="single" w:color="#AAAAAA"/>
              <w:top w:sz="0.7999999999999545" w:val="single" w:color="#AAAAAA"/>
              <w:end w:sz="1.59999999999990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6" w:after="0"/>
              <w:ind w:left="120" w:right="0" w:firstLine="0"/>
              <w:jc w:val="left"/>
            </w:pPr>
            <w:r>
              <w:rPr>
                <w:rFonts w:ascii="Calibri" w:hAnsi="Calibri" w:eastAsia="Arial"/>
                <w:b w:val="0"/>
                <w:i w:val="0"/>
                <w:color w:val="333333"/>
                <w:sz w:val="20"/>
              </w:rPr>
              <w:t>Achat / analyse</w:t>
            </w:r>
          </w:p>
        </w:tc>
        <w:tc>
          <w:tcPr>
            <w:tcW w:type="dxa" w:w="1800"/>
            <w:tcBorders>
              <w:start w:sz="1.599999999999909" w:val="single" w:color="#AAAAAA"/>
              <w:top w:sz="0.7999999999999545" w:val="single" w:color="#AAAAAA"/>
              <w:end w:sz="1.6000000000003638"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120 000 HTG</w:t>
            </w:r>
          </w:p>
        </w:tc>
        <w:tc>
          <w:tcPr>
            <w:tcW w:type="dxa" w:w="1802"/>
            <w:tcBorders>
              <w:start w:sz="1.6000000000003638"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50 000 HTG</w:t>
            </w:r>
          </w:p>
        </w:tc>
        <w:tc>
          <w:tcPr>
            <w:tcW w:type="dxa" w:w="2258"/>
            <w:tcBorders>
              <w:start w:sz="0.8000000000001819"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40 000 HTG</w:t>
            </w:r>
          </w:p>
        </w:tc>
      </w:tr>
      <w:tr>
        <w:trPr>
          <w:trHeight w:hRule="exact" w:val="350"/>
        </w:trPr>
        <w:tc>
          <w:tcPr>
            <w:tcW w:type="dxa" w:w="3500"/>
            <w:tcBorders>
              <w:start w:sz="0.7999999999999545" w:val="single" w:color="#AAAAAA"/>
              <w:top w:sz="0.7999999999999545" w:val="single" w:color="#AAAAAA"/>
              <w:end w:sz="1.599999999999909" w:val="single" w:color="#AAAAAA"/>
              <w:bottom w:sz="0.7999999999999545"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33" w:lineRule="auto" w:before="64" w:after="0"/>
              <w:ind w:left="120" w:right="0" w:firstLine="0"/>
              <w:jc w:val="left"/>
            </w:pPr>
            <w:r>
              <w:rPr>
                <w:rFonts w:ascii="Calibri" w:hAnsi="Calibri" w:eastAsia="Arial"/>
                <w:b w:val="0"/>
                <w:i w:val="0"/>
                <w:color w:val="333333"/>
                <w:sz w:val="20"/>
              </w:rPr>
              <w:t>Modification / développement</w:t>
            </w:r>
          </w:p>
        </w:tc>
        <w:tc>
          <w:tcPr>
            <w:tcW w:type="dxa" w:w="1800"/>
            <w:tcBorders>
              <w:start w:sz="1.599999999999909" w:val="single" w:color="#AAAAAA"/>
              <w:top w:sz="0.7999999999999545" w:val="single" w:color="#AAAAAA"/>
              <w:end w:sz="1.6000000000003638"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c>
          <w:tcPr>
            <w:tcW w:type="dxa" w:w="1802"/>
            <w:tcBorders>
              <w:start w:sz="1.6000000000003638"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80 000 HTG</w:t>
            </w:r>
          </w:p>
        </w:tc>
        <w:tc>
          <w:tcPr>
            <w:tcW w:type="dxa" w:w="2258"/>
            <w:tcBorders>
              <w:start w:sz="0.8000000000001819"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15 000 HTG</w:t>
            </w:r>
          </w:p>
        </w:tc>
      </w:tr>
      <w:tr>
        <w:trPr>
          <w:trHeight w:hRule="exact" w:val="354"/>
        </w:trPr>
        <w:tc>
          <w:tcPr>
            <w:tcW w:type="dxa" w:w="3500"/>
            <w:tcBorders>
              <w:start w:sz="0.7999999999999545" w:val="single" w:color="#AAAAAA"/>
              <w:top w:sz="0.7999999999999545" w:val="single" w:color="#AAAAAA"/>
              <w:end w:sz="1.59999999999990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6" w:after="0"/>
              <w:ind w:left="120" w:right="0" w:firstLine="0"/>
              <w:jc w:val="left"/>
            </w:pPr>
            <w:r>
              <w:rPr>
                <w:rFonts w:ascii="Calibri" w:hAnsi="Calibri" w:eastAsia="Arial"/>
                <w:b w:val="0"/>
                <w:i w:val="0"/>
                <w:color w:val="333333"/>
                <w:sz w:val="20"/>
              </w:rPr>
              <w:t>Installation et tests</w:t>
            </w:r>
          </w:p>
        </w:tc>
        <w:tc>
          <w:tcPr>
            <w:tcW w:type="dxa" w:w="1800"/>
            <w:tcBorders>
              <w:start w:sz="1.599999999999909" w:val="single" w:color="#AAAAAA"/>
              <w:top w:sz="0.7999999999999545"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30 000 HTG</w:t>
            </w:r>
          </w:p>
        </w:tc>
        <w:tc>
          <w:tcPr>
            <w:tcW w:type="dxa" w:w="1802"/>
            <w:tcBorders>
              <w:start w:sz="1.6000000000003638" w:val="single" w:color="#AAAAAA"/>
              <w:top w:sz="0.7999999999999545"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30 000 HTG</w:t>
            </w:r>
          </w:p>
        </w:tc>
        <w:tc>
          <w:tcPr>
            <w:tcW w:type="dxa" w:w="2258"/>
            <w:tcBorders>
              <w:start w:sz="0.8000000000001819" w:val="single" w:color="#AAAAAA"/>
              <w:top w:sz="0.7999999999999545"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30 000 HTG</w:t>
            </w:r>
          </w:p>
        </w:tc>
      </w:tr>
      <w:tr>
        <w:trPr>
          <w:trHeight w:hRule="exact" w:val="352"/>
        </w:trPr>
        <w:tc>
          <w:tcPr>
            <w:tcW w:type="dxa" w:w="3500"/>
            <w:tcBorders>
              <w:start w:sz="0.7999999999999545" w:val="single" w:color="#AAAAAA"/>
              <w:top w:sz="0.8000000000001819" w:val="single" w:color="#AAAAAA"/>
              <w:end w:sz="1.599999999999909" w:val="single" w:color="#AAAAAA"/>
              <w:bottom w:sz="0.7999999999997272"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33" w:lineRule="auto" w:before="62" w:after="0"/>
              <w:ind w:left="120" w:right="0" w:firstLine="0"/>
              <w:jc w:val="left"/>
            </w:pPr>
            <w:r>
              <w:rPr>
                <w:rFonts w:ascii="Calibri" w:hAnsi="Calibri" w:eastAsia="Arial"/>
                <w:b w:val="0"/>
                <w:i w:val="0"/>
                <w:color w:val="333333"/>
                <w:sz w:val="20"/>
              </w:rPr>
              <w:t>Formation</w:t>
            </w:r>
          </w:p>
        </w:tc>
        <w:tc>
          <w:tcPr>
            <w:tcW w:type="dxa" w:w="1800"/>
            <w:tcBorders>
              <w:start w:sz="1.599999999999909" w:val="single" w:color="#AAAAAA"/>
              <w:top w:sz="0.8000000000001819" w:val="single" w:color="#AAAAAA"/>
              <w:end w:sz="1.6000000000003638"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c>
          <w:tcPr>
            <w:tcW w:type="dxa" w:w="1802"/>
            <w:tcBorders>
              <w:start w:sz="1.6000000000003638" w:val="single" w:color="#AAAAAA"/>
              <w:top w:sz="0.8000000000001819" w:val="single" w:color="#AAAAAA"/>
              <w:end w:sz="0.8000000000001819"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20 000 HTG</w:t>
            </w:r>
          </w:p>
        </w:tc>
        <w:tc>
          <w:tcPr>
            <w:tcW w:type="dxa" w:w="2258"/>
            <w:tcBorders>
              <w:start w:sz="0.8000000000001819" w:val="single" w:color="#AAAAAA"/>
              <w:top w:sz="0.8000000000001819" w:val="single" w:color="#AAAAAA"/>
              <w:end w:sz="0.8000000000001819"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r>
      <w:tr>
        <w:trPr>
          <w:trHeight w:hRule="exact" w:val="350"/>
        </w:trPr>
        <w:tc>
          <w:tcPr>
            <w:tcW w:type="dxa" w:w="3500"/>
            <w:tcBorders>
              <w:start w:sz="0.7999999999999545" w:val="single" w:color="#AAAAAA"/>
              <w:top w:sz="0.7999999999997272" w:val="single" w:color="#AAAAAA"/>
              <w:end w:sz="1.59999999999990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4" w:after="0"/>
              <w:ind w:left="120" w:right="0" w:firstLine="0"/>
              <w:jc w:val="left"/>
            </w:pPr>
            <w:r>
              <w:rPr>
                <w:rFonts w:ascii="Calibri" w:hAnsi="Calibri" w:eastAsia="Arial"/>
                <w:b w:val="0"/>
                <w:i w:val="0"/>
                <w:color w:val="333333"/>
                <w:sz w:val="20"/>
              </w:rPr>
              <w:t>TOTAL</w:t>
            </w:r>
          </w:p>
        </w:tc>
        <w:tc>
          <w:tcPr>
            <w:tcW w:type="dxa" w:w="1800"/>
            <w:tcBorders>
              <w:start w:sz="1.599999999999909" w:val="single" w:color="#AAAAAA"/>
              <w:top w:sz="0.7999999999997272"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150 000 HTG</w:t>
            </w:r>
          </w:p>
        </w:tc>
        <w:tc>
          <w:tcPr>
            <w:tcW w:type="dxa" w:w="1802"/>
            <w:tcBorders>
              <w:start w:sz="1.6000000000003638" w:val="single" w:color="#AAAAAA"/>
              <w:top w:sz="0.7999999999997272"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180 000 HTG</w:t>
            </w:r>
          </w:p>
        </w:tc>
        <w:tc>
          <w:tcPr>
            <w:tcW w:type="dxa" w:w="2258"/>
            <w:tcBorders>
              <w:start w:sz="0.8000000000001819" w:val="single" w:color="#AAAAAA"/>
              <w:top w:sz="0.7999999999997272"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220 000 HTG</w:t>
            </w:r>
          </w:p>
        </w:tc>
      </w:tr>
    </w:tbl>
    <w:p>
      <w:pPr>
        <w:autoSpaceDN w:val="0"/>
        <w:autoSpaceDE w:val="0"/>
        <w:widowControl/>
        <w:spacing w:line="276" w:lineRule="auto" w:before="418" w:after="120"/>
        <w:ind w:left="30" w:right="0" w:firstLine="0"/>
        <w:jc w:val="left"/>
      </w:pPr>
      <w:r>
        <w:rPr>
          <w:rFonts w:ascii="Calibri" w:hAnsi="Calibri" w:eastAsia="Arial,Bold"/>
          <w:b/>
          <w:i w:val="0"/>
          <w:color w:val="333333"/>
          <w:sz w:val="22"/>
        </w:rPr>
        <w:t>Coûts récurrents annuels</w:t>
      </w:r>
    </w:p>
    <w:tbl>
      <w:tblPr>
        <w:tblW w:type="auto" w:w="0"/>
        <w:tblLayout w:type="fixed"/>
        <w:tblLook w:firstColumn="1" w:firstRow="1" w:lastColumn="0" w:lastRow="0" w:noHBand="0" w:noVBand="1" w:val="04A0"/>
        <w:tblInd w:w="20.0" w:type="dxa"/>
      </w:tblPr>
      <w:tblGrid>
        <w:gridCol w:w="2360"/>
        <w:gridCol w:w="2360"/>
        <w:gridCol w:w="2360"/>
        <w:gridCol w:w="2360"/>
      </w:tblGrid>
      <w:tr>
        <w:trPr>
          <w:trHeight w:hRule="exact" w:val="766"/>
        </w:trPr>
        <w:tc>
          <w:tcPr>
            <w:tcW w:type="dxa" w:w="3500"/>
            <w:tcBorders>
              <w:end w:sz="1.599999999999909" w:val="single" w:color="#AAAAAA"/>
              <w:bottom w:sz="1.599999999999909" w:val="single" w:color="#AAAAAA"/>
            </w:tcBorders>
            <w:tcMar>
              <w:start w:w="0" w:type="dxa"/>
              <w:end w:w="0" w:type="dxa"/>
            </w:tcMar>
            <w:tcMar>
              <w:top w:w="80" w:type="dxa"/>
              <w:bottom w:w="80" w:type="dxa"/>
              <w:left w:w="120" w:type="dxa"/>
              <w:right w:w="120" w:type="dxa"/>
            </w:tcMar>
            <w:shd w:val="clear" w:color="auto" w:fill="1B365D"/>
          </w:tcPr>
          <w:p>
            <w:pPr>
              <w:autoSpaceDN w:val="0"/>
              <w:autoSpaceDE w:val="0"/>
              <w:widowControl/>
              <w:spacing w:line="233" w:lineRule="auto" w:before="478" w:after="0"/>
              <w:ind w:left="120" w:right="0" w:firstLine="0"/>
              <w:jc w:val="center"/>
            </w:pPr>
            <w:r>
              <w:rPr>
                <w:rFonts w:ascii="Calibri" w:hAnsi="Calibri" w:eastAsia="Arial"/>
                <w:b/>
                <w:i w:val="0"/>
                <w:color w:val="FFFFFF"/>
                <w:sz w:val="20"/>
              </w:rPr>
              <w:t>Entretien</w:t>
            </w:r>
          </w:p>
        </w:tc>
        <w:tc>
          <w:tcPr>
            <w:tcW w:type="dxa" w:w="1800"/>
            <w:tcBorders>
              <w:start w:sz="1.599999999999909" w:val="single" w:color="#AAAAAA"/>
              <w:end w:sz="1.6000000000003638" w:val="single" w:color="#AAAAAA"/>
              <w:bottom w:sz="1.599999999999909" w:val="single" w:color="#AAAAAA"/>
            </w:tcBorders>
            <w:tcMar>
              <w:start w:w="0" w:type="dxa"/>
              <w:end w:w="0" w:type="dxa"/>
            </w:tcMar>
            <w:tcMar>
              <w:top w:w="80" w:type="dxa"/>
              <w:bottom w:w="80" w:type="dxa"/>
              <w:left w:w="120" w:type="dxa"/>
              <w:right w:w="120" w:type="dxa"/>
            </w:tcMar>
            <w:shd w:val="clear" w:color="auto" w:fill="1B365D"/>
          </w:tcPr>
          <w:p>
            <w:pPr>
              <w:jc w:val="center"/>
            </w:pPr>
            <w:r>
              <w:rPr>
                <w:rFonts w:ascii="Calibri" w:hAnsi="Calibri"/>
                <w:b/>
                <w:color w:val="FFFFFF"/>
              </w:rPr>
              <w:t>45 000 HTG</w:t>
            </w:r>
          </w:p>
        </w:tc>
        <w:tc>
          <w:tcPr>
            <w:tcW w:type="dxa" w:w="1802"/>
            <w:tcBorders>
              <w:start w:sz="1.6000000000003638" w:val="single" w:color="#AAAAAA"/>
              <w:end w:sz="0.8000000000001819" w:val="single" w:color="#AAAAAA"/>
              <w:bottom w:sz="1.599999999999909" w:val="single" w:color="#AAAAAA"/>
            </w:tcBorders>
            <w:tcMar>
              <w:start w:w="0" w:type="dxa"/>
              <w:end w:w="0" w:type="dxa"/>
            </w:tcMar>
            <w:tcMar>
              <w:top w:w="80" w:type="dxa"/>
              <w:bottom w:w="80" w:type="dxa"/>
              <w:left w:w="120" w:type="dxa"/>
              <w:right w:w="120" w:type="dxa"/>
            </w:tcMar>
            <w:shd w:val="clear" w:color="auto" w:fill="1B365D"/>
          </w:tcPr>
          <w:p>
            <w:pPr>
              <w:jc w:val="center"/>
            </w:pPr>
            <w:r>
              <w:rPr>
                <w:rFonts w:ascii="Calibri" w:hAnsi="Calibri"/>
                <w:b/>
                <w:color w:val="FFFFFF"/>
              </w:rPr>
              <w:t>25 000 HTG</w:t>
            </w:r>
          </w:p>
        </w:tc>
        <w:tc>
          <w:tcPr>
            <w:tcW w:type="dxa" w:w="2258"/>
            <w:tcBorders>
              <w:start w:sz="0.8000000000001819" w:val="single" w:color="#AAAAAA"/>
              <w:end w:sz="0.8000000000001819" w:val="single" w:color="#AAAAAA"/>
              <w:bottom w:sz="1.599999999999909" w:val="single" w:color="#AAAAAA"/>
            </w:tcBorders>
            <w:tcMar>
              <w:start w:w="0" w:type="dxa"/>
              <w:end w:w="0" w:type="dxa"/>
            </w:tcMar>
            <w:tcMar>
              <w:top w:w="80" w:type="dxa"/>
              <w:bottom w:w="80" w:type="dxa"/>
              <w:left w:w="120" w:type="dxa"/>
              <w:right w:w="120" w:type="dxa"/>
            </w:tcMar>
            <w:shd w:val="clear" w:color="auto" w:fill="1B365D"/>
          </w:tcPr>
          <w:p>
            <w:pPr>
              <w:jc w:val="center"/>
            </w:pPr>
            <w:r>
              <w:rPr>
                <w:rFonts w:ascii="Calibri" w:hAnsi="Calibri"/>
                <w:b/>
                <w:color w:val="FFFFFF"/>
              </w:rPr>
              <w:t>15 000 HTG</w:t>
            </w:r>
          </w:p>
        </w:tc>
      </w:tr>
      <w:tr>
        <w:trPr>
          <w:trHeight w:hRule="exact" w:val="352"/>
        </w:trPr>
        <w:tc>
          <w:tcPr>
            <w:tcW w:type="dxa" w:w="3500"/>
            <w:tcBorders>
              <w:start w:sz="0.7999999999999545" w:val="single" w:color="#AAAAAA"/>
              <w:top w:sz="1.599999999999909" w:val="single" w:color="#AAAAAA"/>
              <w:end w:sz="1.599999999999909" w:val="single" w:color="#AAAAAA"/>
              <w:bottom w:sz="1.599999999999909" w:val="single" w:color="#AAAAAA"/>
            </w:tcBorders>
            <w:shd w:fill="ffffff"/>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2" w:after="0"/>
              <w:ind w:left="120" w:right="0" w:firstLine="0"/>
              <w:jc w:val="left"/>
            </w:pPr>
            <w:r>
              <w:rPr>
                <w:rFonts w:ascii="Calibri" w:hAnsi="Calibri" w:eastAsia="Arial"/>
                <w:b w:val="0"/>
                <w:i w:val="0"/>
                <w:color w:val="333333"/>
                <w:sz w:val="20"/>
              </w:rPr>
              <w:t>Soutien technique</w:t>
            </w:r>
          </w:p>
        </w:tc>
        <w:tc>
          <w:tcPr>
            <w:tcW w:type="dxa" w:w="1800"/>
            <w:tcBorders>
              <w:start w:sz="1.599999999999909" w:val="single" w:color="#AAAAAA"/>
              <w:top w:sz="1.599999999999909" w:val="single" w:color="#AAAAAA"/>
              <w:end w:sz="1.6000000000003638" w:val="single" w:color="#AAAAAA"/>
              <w:bottom w:sz="1.599999999999909" w:val="single" w:color="#AAAAAA"/>
            </w:tcBorders>
            <w:shd w:fill="ffffff"/>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1802"/>
            <w:tcBorders>
              <w:start w:sz="1.6000000000003638" w:val="single" w:color="#AAAAAA"/>
              <w:top w:sz="1.599999999999909" w:val="single" w:color="#AAAAAA"/>
              <w:end w:sz="0.8000000000001819" w:val="single" w:color="#AAAAAA"/>
              <w:bottom w:sz="1.599999999999909" w:val="single" w:color="#AAAAAA"/>
            </w:tcBorders>
            <w:shd w:fill="ffffff"/>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2258"/>
            <w:tcBorders>
              <w:start w:sz="0.8000000000001819" w:val="single" w:color="#AAAAAA"/>
              <w:top w:sz="1.599999999999909" w:val="single" w:color="#AAAAAA"/>
              <w:end w:sz="0.8000000000001819" w:val="single" w:color="#AAAAAA"/>
              <w:bottom w:sz="1.599999999999909" w:val="single" w:color="#AAAAAA"/>
            </w:tcBorders>
            <w:shd w:fill="ffffff"/>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r>
      <w:tr>
        <w:trPr>
          <w:trHeight w:hRule="exact" w:val="352"/>
        </w:trPr>
        <w:tc>
          <w:tcPr>
            <w:tcW w:type="dxa" w:w="3500"/>
            <w:tcBorders>
              <w:start w:sz="0.7999999999999545" w:val="single" w:color="#AAAAAA"/>
              <w:top w:sz="1.599999999999909" w:val="single" w:color="#AAAAAA"/>
              <w:end w:sz="1.599999999999909" w:val="single" w:color="#AAAAAA"/>
            </w:tcBorders>
            <w:shd w:fill="f1f2f1"/>
            <w:tcMar>
              <w:start w:w="0" w:type="dxa"/>
              <w:end w:w="0" w:type="dxa"/>
            </w:tcMar>
            <w:tcMar>
              <w:top w:w="80" w:type="dxa"/>
              <w:bottom w:w="80" w:type="dxa"/>
              <w:left w:w="120" w:type="dxa"/>
              <w:right w:w="120" w:type="dxa"/>
            </w:tcMar>
          </w:tcPr>
          <w:p>
            <w:pPr>
              <w:autoSpaceDN w:val="0"/>
              <w:autoSpaceDE w:val="0"/>
              <w:widowControl/>
              <w:spacing w:line="233" w:lineRule="auto" w:before="62" w:after="0"/>
              <w:ind w:left="120" w:right="0" w:firstLine="0"/>
              <w:jc w:val="left"/>
            </w:pPr>
            <w:r>
              <w:rPr>
                <w:rFonts w:ascii="Calibri" w:hAnsi="Calibri" w:eastAsia="Arial"/>
                <w:b w:val="0"/>
                <w:i w:val="0"/>
                <w:color w:val="333333"/>
                <w:sz w:val="20"/>
              </w:rPr>
              <w:t>TOTAL / AN</w:t>
            </w:r>
          </w:p>
        </w:tc>
        <w:tc>
          <w:tcPr>
            <w:tcW w:type="dxa" w:w="1800"/>
            <w:tcBorders>
              <w:start w:sz="1.599999999999909" w:val="single" w:color="#AAAAAA"/>
              <w:top w:sz="1.599999999999909" w:val="single" w:color="#AAAAAA"/>
              <w:end w:sz="1.6000000000003638" w:val="single" w:color="#AAAAAA"/>
            </w:tcBorders>
            <w:shd w:fill="f1f2f1"/>
            <w:tcMar>
              <w:start w:w="0" w:type="dxa"/>
              <w:end w:w="0" w:type="dxa"/>
            </w:tcMar>
            <w:tcMar>
              <w:top w:w="80" w:type="dxa"/>
              <w:bottom w:w="80" w:type="dxa"/>
              <w:left w:w="120" w:type="dxa"/>
              <w:right w:w="120" w:type="dxa"/>
            </w:tcMar>
          </w:tcPr>
          <w:p>
            <w:r>
              <w:rPr>
                <w:rFonts w:ascii="Calibri" w:hAnsi="Calibri"/>
                <w:color w:val="333333"/>
              </w:rPr>
              <w:t>45 000 HTG</w:t>
            </w:r>
          </w:p>
        </w:tc>
        <w:tc>
          <w:tcPr>
            <w:tcW w:type="dxa" w:w="1802"/>
            <w:tcBorders>
              <w:start w:sz="1.6000000000003638" w:val="single" w:color="#AAAAAA"/>
              <w:top w:sz="1.599999999999909" w:val="single" w:color="#AAAAAA"/>
              <w:end w:sz="0.8000000000001819" w:val="single" w:color="#AAAAAA"/>
            </w:tcBorders>
            <w:shd w:fill="f1f2f1"/>
            <w:tcMar>
              <w:start w:w="0" w:type="dxa"/>
              <w:end w:w="0" w:type="dxa"/>
            </w:tcMar>
            <w:tcMar>
              <w:top w:w="80" w:type="dxa"/>
              <w:bottom w:w="80" w:type="dxa"/>
              <w:left w:w="120" w:type="dxa"/>
              <w:right w:w="120" w:type="dxa"/>
            </w:tcMar>
          </w:tcPr>
          <w:p>
            <w:r>
              <w:rPr>
                <w:rFonts w:ascii="Calibri" w:hAnsi="Calibri"/>
                <w:color w:val="333333"/>
              </w:rPr>
              <w:t>25 000 HTG</w:t>
            </w:r>
          </w:p>
        </w:tc>
        <w:tc>
          <w:tcPr>
            <w:tcW w:type="dxa" w:w="2258"/>
            <w:tcBorders>
              <w:start w:sz="0.8000000000001819" w:val="single" w:color="#AAAAAA"/>
              <w:top w:sz="1.599999999999909" w:val="single" w:color="#AAAAAA"/>
              <w:end w:sz="0.8000000000001819" w:val="single" w:color="#AAAAAA"/>
            </w:tcBorders>
            <w:shd w:fill="f1f2f1"/>
            <w:tcMar>
              <w:start w:w="0" w:type="dxa"/>
              <w:end w:w="0" w:type="dxa"/>
            </w:tcMar>
            <w:tcMar>
              <w:top w:w="80" w:type="dxa"/>
              <w:bottom w:w="80" w:type="dxa"/>
              <w:left w:w="120" w:type="dxa"/>
              <w:right w:w="120" w:type="dxa"/>
            </w:tcMar>
          </w:tcPr>
          <w:p>
            <w:r>
              <w:rPr>
                <w:rFonts w:ascii="Calibri" w:hAnsi="Calibri"/>
                <w:color w:val="333333"/>
              </w:rPr>
              <w:t>15 000 HTG</w:t>
            </w:r>
          </w:p>
        </w:tc>
      </w:tr>
    </w:tbl>
    <w:p>
      <w:pPr>
        <w:autoSpaceDN w:val="0"/>
        <w:autoSpaceDE w:val="0"/>
        <w:widowControl/>
        <w:spacing w:line="276" w:lineRule="auto" w:before="244" w:after="120"/>
        <w:ind w:left="30" w:right="0" w:firstLine="0"/>
        <w:jc w:val="left"/>
      </w:pPr>
      <w:r>
        <w:rPr>
          <w:rFonts w:ascii="Calibri" w:hAnsi="Calibri" w:eastAsia="Arial,Bold"/>
          <w:b/>
          <w:i w:val="0"/>
          <w:color w:val="333333"/>
          <w:sz w:val="22"/>
        </w:rPr>
        <w:t xml:space="preserve">6.3 Analyse bénéfices-coûts </w:t>
      </w:r>
    </w:p>
    <w:p>
      <w:pPr>
        <w:autoSpaceDN w:val="0"/>
        <w:autoSpaceDE w:val="0"/>
        <w:widowControl/>
        <w:spacing w:line="276" w:lineRule="auto" w:before="90" w:after="120"/>
        <w:ind w:left="30" w:right="0" w:firstLine="0"/>
        <w:jc w:val="left"/>
      </w:pPr>
      <w:r>
        <w:rPr>
          <w:rFonts w:ascii="Calibri" w:hAnsi="Calibri" w:eastAsia="Arial,Bold"/>
          <w:b/>
          <w:i w:val="0"/>
          <w:color w:val="333333"/>
          <w:sz w:val="22"/>
        </w:rPr>
        <w:t>Première année</w:t>
      </w:r>
    </w:p>
    <w:tbl>
      <w:tblPr>
        <w:tblW w:type="auto" w:w="0"/>
        <w:tblLayout w:type="fixed"/>
        <w:tblLook w:firstColumn="1" w:firstRow="1" w:lastColumn="0" w:lastRow="0" w:noHBand="0" w:noVBand="1" w:val="04A0"/>
        <w:tblInd w:w="20.0" w:type="dxa"/>
      </w:tblPr>
      <w:tblGrid>
        <w:gridCol w:w="1888"/>
        <w:gridCol w:w="1888"/>
        <w:gridCol w:w="1888"/>
        <w:gridCol w:w="1888"/>
        <w:gridCol w:w="1888"/>
      </w:tblGrid>
      <w:tr>
        <w:trPr>
          <w:trHeight w:hRule="exact" w:val="412"/>
        </w:trPr>
        <w:tc>
          <w:tcPr>
            <w:tcW w:type="dxa" w:w="2698"/>
            <w:tcBorders>
              <w:start w:sz="0.7999999999999545" w:val="single" w:color="#AAAAAA"/>
              <w:top w:sz="1.6000000000003638" w:val="single" w:color="#AAAAAA"/>
              <w:end w:sz="0.7999999999999545" w:val="single" w:color="#AAAAAA"/>
              <w:bottom w:sz="0.7999999999997272" w:val="single" w:color="#AAAAAA"/>
            </w:tcBorders>
            <w:shd w:fill="1f4e79"/>
            <w:tcMar>
              <w:start w:w="0" w:type="dxa"/>
              <w:end w:w="0" w:type="dxa"/>
            </w:tcMar>
            <w:tcMar>
              <w:top w:w="80" w:type="dxa"/>
              <w:bottom w:w="80" w:type="dxa"/>
              <w:left w:w="120" w:type="dxa"/>
              <w:right w:w="120" w:type="dxa"/>
            </w:tcMar>
            <w:shd w:val="clear" w:color="auto" w:fill="1B365D"/>
          </w:tcPr>
          <w:p>
            <w:pPr>
              <w:jc w:val="center"/>
            </w:pPr>
          </w:p>
        </w:tc>
        <w:tc>
          <w:tcPr>
            <w:tcW w:type="dxa" w:w="1602"/>
            <w:tcBorders>
              <w:start w:sz="0.7999999999999545" w:val="single" w:color="#AAAAAA"/>
              <w:top w:sz="1.6000000000003638" w:val="single" w:color="#AAAAAA"/>
              <w:end w:sz="1.6000000000003638" w:val="single" w:color="#AAAAAA"/>
              <w:bottom w:sz="0.799999999999727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2" w:after="0"/>
              <w:ind w:left="124" w:right="0" w:firstLine="0"/>
              <w:jc w:val="center"/>
            </w:pPr>
            <w:r>
              <w:rPr>
                <w:rFonts w:ascii="Calibri" w:hAnsi="Calibri" w:eastAsia="Arial,Bold"/>
                <w:b/>
                <w:i w:val="0"/>
                <w:color w:val="FFFFFF"/>
                <w:sz w:val="20"/>
              </w:rPr>
              <w:t>Solution 1</w:t>
            </w:r>
          </w:p>
        </w:tc>
        <w:tc>
          <w:tcPr>
            <w:tcW w:type="dxa" w:w="1602"/>
            <w:tcBorders>
              <w:start w:sz="1.6000000000003638" w:val="single" w:color="#AAAAAA"/>
              <w:top w:sz="1.6000000000003638" w:val="single" w:color="#AAAAAA"/>
              <w:end w:sz="0.8000000000001819" w:val="single" w:color="#AAAAAA"/>
              <w:bottom w:sz="0.799999999999727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2" w:after="0"/>
              <w:ind w:left="118" w:right="0" w:firstLine="0"/>
              <w:jc w:val="center"/>
            </w:pPr>
            <w:r>
              <w:rPr>
                <w:rFonts w:ascii="Calibri" w:hAnsi="Calibri" w:eastAsia="Arial,Bold"/>
                <w:b/>
                <w:i w:val="0"/>
                <w:color w:val="FFFFFF"/>
                <w:sz w:val="20"/>
              </w:rPr>
              <w:t>Solution 2</w:t>
            </w:r>
          </w:p>
        </w:tc>
        <w:tc>
          <w:tcPr>
            <w:tcW w:type="dxa" w:w="1600"/>
            <w:tcBorders>
              <w:start w:sz="0.8000000000001819" w:val="single" w:color="#AAAAAA"/>
              <w:top w:sz="1.6000000000003638" w:val="single" w:color="#AAAAAA"/>
              <w:end w:sz="0.8000000000001819" w:val="single" w:color="#AAAAAA"/>
              <w:bottom w:sz="0.799999999999727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2" w:after="0"/>
              <w:ind w:left="118" w:right="0" w:firstLine="0"/>
              <w:jc w:val="center"/>
            </w:pPr>
            <w:r>
              <w:rPr>
                <w:rFonts w:ascii="Calibri" w:hAnsi="Calibri" w:eastAsia="Arial,Bold"/>
                <w:b/>
                <w:i w:val="0"/>
                <w:color w:val="FFFFFF"/>
                <w:sz w:val="20"/>
              </w:rPr>
              <w:t>Solution 3</w:t>
            </w:r>
          </w:p>
        </w:tc>
        <w:tc>
          <w:tcPr>
            <w:tcW w:type="dxa" w:w="1858"/>
            <w:tcBorders>
              <w:start w:sz="0.8000000000001819" w:val="single" w:color="#AAAAAA"/>
              <w:top w:sz="1.6000000000003638" w:val="single" w:color="#AAAAAA"/>
              <w:end w:sz="0.8000000000001819" w:val="single" w:color="#AAAAAA"/>
              <w:bottom w:sz="0.7999999999997272"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2" w:after="0"/>
              <w:ind w:left="118" w:right="0" w:firstLine="0"/>
              <w:jc w:val="center"/>
            </w:pPr>
            <w:r>
              <w:rPr>
                <w:rFonts w:ascii="Calibri" w:hAnsi="Calibri" w:eastAsia="Arial,Bold"/>
                <w:b/>
                <w:i w:val="0"/>
                <w:color w:val="FFFFFF"/>
                <w:sz w:val="20"/>
              </w:rPr>
              <w:t>Solution 4</w:t>
            </w:r>
          </w:p>
        </w:tc>
      </w:tr>
      <w:tr>
        <w:trPr>
          <w:trHeight w:hRule="exact" w:val="356"/>
        </w:trPr>
        <w:tc>
          <w:tcPr>
            <w:tcW w:type="dxa" w:w="2698"/>
            <w:tcBorders>
              <w:start w:sz="0.7999999999999545" w:val="single" w:color="#AAAAAA"/>
              <w:top w:sz="0.7999999999997272" w:val="single" w:color="#AAAAAA"/>
              <w:end w:sz="0.7999999999999545"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Bénéfices du personnel (HTG)</w:t>
            </w:r>
          </w:p>
        </w:tc>
        <w:tc>
          <w:tcPr>
            <w:tcW w:type="dxa" w:w="1602"/>
            <w:tcBorders>
              <w:start w:sz="0.7999999999999545" w:val="single" w:color="#AAAAAA"/>
              <w:top w:sz="0.7999999999997272" w:val="single" w:color="#AAAAAA"/>
              <w:end w:sz="1.6000000000003638"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w:t>
            </w:r>
          </w:p>
        </w:tc>
        <w:tc>
          <w:tcPr>
            <w:tcW w:type="dxa" w:w="1602"/>
            <w:tcBorders>
              <w:start w:sz="1.6000000000003638" w:val="single" w:color="#AAAAAA"/>
              <w:top w:sz="0.7999999999997272" w:val="single" w:color="#AAAAAA"/>
              <w:end w:sz="0.8000000000001819"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1600"/>
            <w:tcBorders>
              <w:start w:sz="0.8000000000001819" w:val="single" w:color="#AAAAAA"/>
              <w:top w:sz="0.7999999999997272" w:val="single" w:color="#AAAAAA"/>
              <w:end w:sz="0.8000000000001819"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1858"/>
            <w:tcBorders>
              <w:start w:sz="0.8000000000001819" w:val="single" w:color="#AAAAAA"/>
              <w:top w:sz="0.7999999999997272" w:val="single" w:color="#AAAAAA"/>
              <w:end w:sz="0.8000000000001819"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r>
      <w:tr>
        <w:trPr>
          <w:trHeight w:hRule="exact" w:val="350"/>
        </w:trPr>
        <w:tc>
          <w:tcPr>
            <w:tcW w:type="dxa" w:w="2698"/>
            <w:tcBorders>
              <w:start w:sz="0.7999999999999545" w:val="single" w:color="#AAAAAA"/>
              <w:top w:sz="0.7999999999997272" w:val="single" w:color="#AAAAAA"/>
              <w:end w:sz="0.7999999999999545"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Revenus sur frais (HTG)</w:t>
            </w:r>
          </w:p>
        </w:tc>
        <w:tc>
          <w:tcPr>
            <w:tcW w:type="dxa" w:w="1602"/>
            <w:tcBorders>
              <w:start w:sz="0.7999999999999545" w:val="single" w:color="#AAAAAA"/>
              <w:top w:sz="0.7999999999997272"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w:t>
            </w:r>
          </w:p>
        </w:tc>
        <w:tc>
          <w:tcPr>
            <w:tcW w:type="dxa" w:w="1602"/>
            <w:tcBorders>
              <w:start w:sz="1.6000000000003638" w:val="single" w:color="#AAAAAA"/>
              <w:top w:sz="0.7999999999997272"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c>
          <w:tcPr>
            <w:tcW w:type="dxa" w:w="1600"/>
            <w:tcBorders>
              <w:start w:sz="0.8000000000001819" w:val="single" w:color="#AAAAAA"/>
              <w:top w:sz="0.7999999999997272"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c>
          <w:tcPr>
            <w:tcW w:type="dxa" w:w="1858"/>
            <w:tcBorders>
              <w:start w:sz="0.8000000000001819" w:val="single" w:color="#AAAAAA"/>
              <w:top w:sz="0.7999999999997272"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r>
      <w:tr>
        <w:trPr>
          <w:trHeight w:hRule="exact" w:val="354"/>
        </w:trPr>
        <w:tc>
          <w:tcPr>
            <w:tcW w:type="dxa" w:w="2698"/>
            <w:tcBorders>
              <w:start w:sz="0.7999999999999545" w:val="single" w:color="#AAAAAA"/>
              <w:top w:sz="0.8000000000001819" w:val="single" w:color="#AAAAAA"/>
              <w:end w:sz="0.7999999999999545"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Autres bénéfices (HTG)</w:t>
            </w:r>
          </w:p>
        </w:tc>
        <w:tc>
          <w:tcPr>
            <w:tcW w:type="dxa" w:w="1602"/>
            <w:tcBorders>
              <w:start w:sz="0.7999999999999545" w:val="single" w:color="#AAAAAA"/>
              <w:top w:sz="0.8000000000001819"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1602"/>
            <w:tcBorders>
              <w:start w:sz="1.6000000000003638"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160 000 HTG</w:t>
            </w:r>
          </w:p>
        </w:tc>
        <w:tc>
          <w:tcPr>
            <w:tcW w:type="dxa" w:w="1600"/>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280 000 HTG</w:t>
            </w:r>
          </w:p>
        </w:tc>
        <w:tc>
          <w:tcPr>
            <w:tcW w:type="dxa" w:w="1858"/>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400 000 HTG</w:t>
            </w:r>
          </w:p>
        </w:tc>
      </w:tr>
      <w:tr>
        <w:trPr>
          <w:trHeight w:hRule="exact" w:val="352"/>
        </w:trPr>
        <w:tc>
          <w:tcPr>
            <w:tcW w:type="dxa" w:w="2698"/>
            <w:tcBorders>
              <w:start w:sz="0.7999999999999545" w:val="single" w:color="#AAAAAA"/>
              <w:top w:sz="0.8000000000001819" w:val="single" w:color="#AAAAAA"/>
              <w:end w:sz="0.7999999999999545"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Total bénéfices (HTG)</w:t>
            </w:r>
          </w:p>
        </w:tc>
        <w:tc>
          <w:tcPr>
            <w:tcW w:type="dxa" w:w="1602"/>
            <w:tcBorders>
              <w:start w:sz="0.7999999999999545" w:val="single" w:color="#AAAAAA"/>
              <w:top w:sz="0.8000000000001819"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 HTG</w:t>
            </w:r>
          </w:p>
        </w:tc>
        <w:tc>
          <w:tcPr>
            <w:tcW w:type="dxa" w:w="1602"/>
            <w:tcBorders>
              <w:start w:sz="1.6000000000003638"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160 000 HTG</w:t>
            </w:r>
          </w:p>
        </w:tc>
        <w:tc>
          <w:tcPr>
            <w:tcW w:type="dxa" w:w="1600"/>
            <w:tcBorders>
              <w:start w:sz="0.8000000000001819"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280 000 HTG</w:t>
            </w:r>
          </w:p>
        </w:tc>
        <w:tc>
          <w:tcPr>
            <w:tcW w:type="dxa" w:w="1858"/>
            <w:tcBorders>
              <w:start w:sz="0.8000000000001819"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400 000 HTG</w:t>
            </w:r>
          </w:p>
        </w:tc>
      </w:tr>
      <w:tr>
        <w:trPr>
          <w:trHeight w:hRule="exact" w:val="350"/>
        </w:trPr>
        <w:tc>
          <w:tcPr>
            <w:tcW w:type="dxa" w:w="2698"/>
            <w:tcBorders>
              <w:start w:sz="0.7999999999999545" w:val="single" w:color="#AAAAAA"/>
              <w:top w:sz="0.8000000000001819" w:val="single" w:color="#AAAAAA"/>
              <w:end w:sz="0.7999999999999545"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Coûts récurrents (HTG)</w:t>
            </w:r>
          </w:p>
        </w:tc>
        <w:tc>
          <w:tcPr>
            <w:tcW w:type="dxa" w:w="1602"/>
            <w:tcBorders>
              <w:start w:sz="0.7999999999999545" w:val="single" w:color="#AAAAAA"/>
              <w:top w:sz="0.8000000000001819" w:val="single" w:color="#AAAAAA"/>
              <w:end w:sz="1.6000000000003638"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520 000 HTG</w:t>
            </w:r>
          </w:p>
        </w:tc>
        <w:tc>
          <w:tcPr>
            <w:tcW w:type="dxa" w:w="1602"/>
            <w:tcBorders>
              <w:start w:sz="1.6000000000003638" w:val="single" w:color="#AAAAAA"/>
              <w:top w:sz="0.8000000000001819" w:val="single" w:color="#AAAAAA"/>
              <w:end w:sz="0.8000000000001819"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45 000 HTG</w:t>
            </w:r>
          </w:p>
        </w:tc>
        <w:tc>
          <w:tcPr>
            <w:tcW w:type="dxa" w:w="1600"/>
            <w:tcBorders>
              <w:start w:sz="0.8000000000001819" w:val="single" w:color="#AAAAAA"/>
              <w:top w:sz="0.8000000000001819" w:val="single" w:color="#AAAAAA"/>
              <w:end w:sz="0.8000000000001819"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25 000 HTG</w:t>
            </w:r>
          </w:p>
        </w:tc>
        <w:tc>
          <w:tcPr>
            <w:tcW w:type="dxa" w:w="1858"/>
            <w:tcBorders>
              <w:start w:sz="0.8000000000001819" w:val="single" w:color="#AAAAAA"/>
              <w:top w:sz="0.8000000000001819" w:val="single" w:color="#AAAAAA"/>
              <w:end w:sz="0.8000000000001819" w:val="single" w:color="#AAAAAA"/>
              <w:bottom w:sz="0.7999999999992724"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15 000 HTG</w:t>
            </w:r>
          </w:p>
        </w:tc>
      </w:tr>
      <w:tr>
        <w:trPr>
          <w:trHeight w:hRule="exact" w:val="352"/>
        </w:trPr>
        <w:tc>
          <w:tcPr>
            <w:tcW w:type="dxa" w:w="2698"/>
            <w:tcBorders>
              <w:start w:sz="0.7999999999999545" w:val="single" w:color="#AAAAAA"/>
              <w:top w:sz="0.7999999999992724" w:val="single" w:color="#AAAAAA"/>
              <w:end w:sz="0.7999999999999545"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Coûts non récurrents (HTG)</w:t>
            </w:r>
          </w:p>
        </w:tc>
        <w:tc>
          <w:tcPr>
            <w:tcW w:type="dxa" w:w="1602"/>
            <w:tcBorders>
              <w:start w:sz="0.7999999999999545" w:val="single" w:color="#AAAAAA"/>
              <w:top w:sz="0.7999999999992724"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w:t>
            </w:r>
          </w:p>
        </w:tc>
        <w:tc>
          <w:tcPr>
            <w:tcW w:type="dxa" w:w="1602"/>
            <w:tcBorders>
              <w:start w:sz="1.6000000000003638" w:val="single" w:color="#AAAAAA"/>
              <w:top w:sz="0.7999999999992724"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150 000 HTG</w:t>
            </w:r>
          </w:p>
        </w:tc>
        <w:tc>
          <w:tcPr>
            <w:tcW w:type="dxa" w:w="1600"/>
            <w:tcBorders>
              <w:start w:sz="0.8000000000001819" w:val="single" w:color="#AAAAAA"/>
              <w:top w:sz="0.7999999999992724"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180 000 HTG</w:t>
            </w:r>
          </w:p>
        </w:tc>
        <w:tc>
          <w:tcPr>
            <w:tcW w:type="dxa" w:w="1858"/>
            <w:tcBorders>
              <w:start w:sz="0.8000000000001819" w:val="single" w:color="#AAAAAA"/>
              <w:top w:sz="0.7999999999992724"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220 000 HTG</w:t>
            </w:r>
          </w:p>
        </w:tc>
      </w:tr>
      <w:tr>
        <w:trPr>
          <w:trHeight w:hRule="exact" w:val="354"/>
        </w:trPr>
        <w:tc>
          <w:tcPr>
            <w:tcW w:type="dxa" w:w="2698"/>
            <w:tcBorders>
              <w:start w:sz="0.7999999999999545" w:val="single" w:color="#AAAAAA"/>
              <w:top w:sz="0.8000000000001819" w:val="single" w:color="#AAAAAA"/>
              <w:end w:sz="0.7999999999999545"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Coût d’investissement (HTG)</w:t>
            </w:r>
          </w:p>
        </w:tc>
        <w:tc>
          <w:tcPr>
            <w:tcW w:type="dxa" w:w="1602"/>
            <w:tcBorders>
              <w:start w:sz="0.7999999999999545" w:val="single" w:color="#AAAAAA"/>
              <w:top w:sz="0.8000000000001819"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w:t>
            </w:r>
          </w:p>
        </w:tc>
        <w:tc>
          <w:tcPr>
            <w:tcW w:type="dxa" w:w="1602"/>
            <w:tcBorders>
              <w:start w:sz="1.6000000000003638"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88 000 HTG</w:t>
            </w:r>
          </w:p>
        </w:tc>
        <w:tc>
          <w:tcPr>
            <w:tcW w:type="dxa" w:w="1600"/>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88 000 HTG</w:t>
            </w:r>
          </w:p>
        </w:tc>
        <w:tc>
          <w:tcPr>
            <w:tcW w:type="dxa" w:w="1858"/>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88 000 HTG</w:t>
            </w:r>
          </w:p>
        </w:tc>
      </w:tr>
      <w:tr>
        <w:trPr>
          <w:trHeight w:hRule="exact" w:val="350"/>
        </w:trPr>
        <w:tc>
          <w:tcPr>
            <w:tcW w:type="dxa" w:w="2698"/>
            <w:tcBorders>
              <w:start w:sz="0.7999999999999545" w:val="single" w:color="#AAAAAA"/>
              <w:top w:sz="0.8000000000001819" w:val="single" w:color="#AAAAAA"/>
              <w:end w:sz="0.7999999999999545"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Total coûts (HTG)</w:t>
            </w:r>
          </w:p>
        </w:tc>
        <w:tc>
          <w:tcPr>
            <w:tcW w:type="dxa" w:w="1602"/>
            <w:tcBorders>
              <w:start w:sz="0.7999999999999545" w:val="single" w:color="#AAAAAA"/>
              <w:top w:sz="0.8000000000001819"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520 000 HTG</w:t>
            </w:r>
          </w:p>
        </w:tc>
        <w:tc>
          <w:tcPr>
            <w:tcW w:type="dxa" w:w="1602"/>
            <w:tcBorders>
              <w:start w:sz="1.6000000000003638"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283 000 HTG</w:t>
            </w:r>
          </w:p>
        </w:tc>
        <w:tc>
          <w:tcPr>
            <w:tcW w:type="dxa" w:w="1600"/>
            <w:tcBorders>
              <w:start w:sz="0.8000000000001819"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293 000 HTG</w:t>
            </w:r>
          </w:p>
        </w:tc>
        <w:tc>
          <w:tcPr>
            <w:tcW w:type="dxa" w:w="1858"/>
            <w:tcBorders>
              <w:start w:sz="0.8000000000001819"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323 000 HTG</w:t>
            </w:r>
          </w:p>
        </w:tc>
      </w:tr>
      <w:tr>
        <w:trPr>
          <w:trHeight w:hRule="exact" w:val="354"/>
        </w:trPr>
        <w:tc>
          <w:tcPr>
            <w:tcW w:type="dxa" w:w="2698"/>
            <w:tcBorders>
              <w:start w:sz="0.7999999999999545" w:val="single" w:color="#AAAAAA"/>
              <w:top w:sz="0.8000000000001819" w:val="single" w:color="#AAAAAA"/>
              <w:end w:sz="0.7999999999999545"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Bénéfice net (HTG)</w:t>
            </w:r>
          </w:p>
        </w:tc>
        <w:tc>
          <w:tcPr>
            <w:tcW w:type="dxa" w:w="1602"/>
            <w:tcBorders>
              <w:start w:sz="0.7999999999999545" w:val="single" w:color="#AAAAAA"/>
              <w:top w:sz="0.8000000000001819"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(520 000 HTG)</w:t>
            </w:r>
          </w:p>
        </w:tc>
        <w:tc>
          <w:tcPr>
            <w:tcW w:type="dxa" w:w="1602"/>
            <w:tcBorders>
              <w:start w:sz="1.6000000000003638"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(123 000 HTG)</w:t>
            </w:r>
          </w:p>
        </w:tc>
        <w:tc>
          <w:tcPr>
            <w:tcW w:type="dxa" w:w="1600"/>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(13 000 HTG)</w:t>
            </w:r>
          </w:p>
        </w:tc>
        <w:tc>
          <w:tcPr>
            <w:tcW w:type="dxa" w:w="1858"/>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+77 000 HTG</w:t>
            </w:r>
          </w:p>
        </w:tc>
      </w:tr>
    </w:tbl>
    <w:p>
      <w:pPr>
        <w:autoSpaceDN w:val="0"/>
        <w:autoSpaceDE w:val="0"/>
        <w:widowControl/>
        <w:spacing w:line="276" w:lineRule="auto" w:before="416" w:after="120"/>
        <w:ind w:left="30" w:right="0" w:firstLine="0"/>
        <w:jc w:val="left"/>
      </w:pPr>
      <w:r>
        <w:rPr>
          <w:rFonts w:ascii="Calibri" w:hAnsi="Calibri" w:eastAsia="Arial,Bold"/>
          <w:b/>
          <w:i w:val="0"/>
          <w:color w:val="333333"/>
          <w:sz w:val="22"/>
        </w:rPr>
        <w:t>Deuxième année</w:t>
      </w:r>
    </w:p>
    <w:tbl>
      <w:tblPr>
        <w:tblW w:type="auto" w:w="0"/>
        <w:tblLayout w:type="fixed"/>
        <w:tblLook w:firstColumn="1" w:firstRow="1" w:lastColumn="0" w:lastRow="0" w:noHBand="0" w:noVBand="1" w:val="04A0"/>
        <w:tblInd w:w="20.0" w:type="dxa"/>
      </w:tblPr>
      <w:tblGrid>
        <w:gridCol w:w="1888"/>
        <w:gridCol w:w="1888"/>
        <w:gridCol w:w="1888"/>
        <w:gridCol w:w="1888"/>
        <w:gridCol w:w="1888"/>
      </w:tblGrid>
      <w:tr>
        <w:trPr>
          <w:trHeight w:hRule="exact" w:val="416"/>
        </w:trPr>
        <w:tc>
          <w:tcPr>
            <w:tcW w:type="dxa" w:w="2698"/>
            <w:tcBorders>
              <w:start w:sz="0.7999999999999545" w:val="single" w:color="#AAAAAA"/>
              <w:top w:sz="0.8000000000001819" w:val="single" w:color="#AAAAAA"/>
              <w:end w:sz="0.7999999999999545"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jc w:val="center"/>
            </w:pPr>
          </w:p>
        </w:tc>
        <w:tc>
          <w:tcPr>
            <w:tcW w:type="dxa" w:w="1602"/>
            <w:tcBorders>
              <w:start w:sz="0.7999999999999545" w:val="single" w:color="#AAAAAA"/>
              <w:top w:sz="0.8000000000001819" w:val="single" w:color="#AAAAAA"/>
              <w:end w:sz="1.6000000000003638"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24" w:right="0" w:firstLine="0"/>
              <w:jc w:val="center"/>
            </w:pPr>
            <w:r>
              <w:rPr>
                <w:rFonts w:ascii="Calibri" w:hAnsi="Calibri" w:eastAsia="Arial,Bold"/>
                <w:b/>
                <w:i w:val="0"/>
                <w:color w:val="FFFFFF"/>
                <w:sz w:val="20"/>
              </w:rPr>
              <w:t>Solution 1</w:t>
            </w:r>
          </w:p>
        </w:tc>
        <w:tc>
          <w:tcPr>
            <w:tcW w:type="dxa" w:w="1602"/>
            <w:tcBorders>
              <w:start w:sz="1.6000000000003638" w:val="single" w:color="#AAAAAA"/>
              <w:top w:sz="0.8000000000001819" w:val="single" w:color="#AAAAAA"/>
              <w:end w:sz="0.8000000000001819"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Solution 2</w:t>
            </w:r>
          </w:p>
        </w:tc>
        <w:tc>
          <w:tcPr>
            <w:tcW w:type="dxa" w:w="1600"/>
            <w:tcBorders>
              <w:start w:sz="0.8000000000001819" w:val="single" w:color="#AAAAAA"/>
              <w:top w:sz="0.8000000000001819" w:val="single" w:color="#AAAAAA"/>
              <w:end w:sz="0.8000000000001819"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Solution 3</w:t>
            </w:r>
          </w:p>
        </w:tc>
        <w:tc>
          <w:tcPr>
            <w:tcW w:type="dxa" w:w="1858"/>
            <w:tcBorders>
              <w:start w:sz="0.8000000000001819" w:val="single" w:color="#AAAAAA"/>
              <w:top w:sz="0.8000000000001819" w:val="single" w:color="#AAAAAA"/>
              <w:end w:sz="0.8000000000001819"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Solution 4</w:t>
            </w:r>
          </w:p>
        </w:tc>
      </w:tr>
      <w:tr>
        <w:trPr>
          <w:trHeight w:hRule="exact" w:val="354"/>
        </w:trPr>
        <w:tc>
          <w:tcPr>
            <w:tcW w:type="dxa" w:w="2698"/>
            <w:tcBorders>
              <w:start w:sz="0.7999999999999545" w:val="single" w:color="#AAAAAA"/>
              <w:top w:sz="0.8000000000001819" w:val="single" w:color="#AAAAAA"/>
              <w:end w:sz="0.7999999999999545"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Total bénéfices (HTG)</w:t>
            </w:r>
          </w:p>
        </w:tc>
        <w:tc>
          <w:tcPr>
            <w:tcW w:type="dxa" w:w="1602"/>
            <w:tcBorders>
              <w:start w:sz="0.7999999999999545" w:val="single" w:color="#AAAAAA"/>
              <w:top w:sz="0.8000000000001819" w:val="single" w:color="#AAAAAA"/>
              <w:end w:sz="1.6000000000003638"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 HTG</w:t>
            </w:r>
          </w:p>
        </w:tc>
        <w:tc>
          <w:tcPr>
            <w:tcW w:type="dxa" w:w="1602"/>
            <w:tcBorders>
              <w:start w:sz="1.6000000000003638"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160 000 HTG</w:t>
            </w:r>
          </w:p>
        </w:tc>
        <w:tc>
          <w:tcPr>
            <w:tcW w:type="dxa" w:w="1600"/>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320 000 HTG</w:t>
            </w:r>
          </w:p>
        </w:tc>
        <w:tc>
          <w:tcPr>
            <w:tcW w:type="dxa" w:w="1858"/>
            <w:tcBorders>
              <w:start w:sz="0.8000000000001819" w:val="single" w:color="#AAAAAA"/>
              <w:top w:sz="0.8000000000001819" w:val="single" w:color="#AAAAAA"/>
              <w:end w:sz="0.8000000000001819" w:val="single" w:color="#AAAAAA"/>
              <w:bottom w:sz="0.8000000000001819"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460 000 HTG</w:t>
            </w:r>
          </w:p>
        </w:tc>
      </w:tr>
      <w:tr>
        <w:trPr>
          <w:trHeight w:hRule="exact" w:val="350"/>
        </w:trPr>
        <w:tc>
          <w:tcPr>
            <w:tcW w:type="dxa" w:w="2698"/>
            <w:tcBorders>
              <w:start w:sz="0.7999999999999545" w:val="single" w:color="#AAAAAA"/>
              <w:top w:sz="0.8000000000001819" w:val="single" w:color="#AAAAAA"/>
              <w:end w:sz="0.7999999999999545"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Coûts récurrents (HTG)</w:t>
            </w:r>
          </w:p>
        </w:tc>
        <w:tc>
          <w:tcPr>
            <w:tcW w:type="dxa" w:w="1602"/>
            <w:tcBorders>
              <w:start w:sz="0.7999999999999545" w:val="single" w:color="#AAAAAA"/>
              <w:top w:sz="0.8000000000001819"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520 000 HTG</w:t>
            </w:r>
          </w:p>
        </w:tc>
        <w:tc>
          <w:tcPr>
            <w:tcW w:type="dxa" w:w="1602"/>
            <w:tcBorders>
              <w:start w:sz="1.6000000000003638"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45 000 HTG</w:t>
            </w:r>
          </w:p>
        </w:tc>
        <w:tc>
          <w:tcPr>
            <w:tcW w:type="dxa" w:w="1600"/>
            <w:tcBorders>
              <w:start w:sz="0.8000000000001819"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25 000 HTG</w:t>
            </w:r>
          </w:p>
        </w:tc>
        <w:tc>
          <w:tcPr>
            <w:tcW w:type="dxa" w:w="1858"/>
            <w:tcBorders>
              <w:start w:sz="0.8000000000001819" w:val="single" w:color="#AAAAAA"/>
              <w:top w:sz="0.8000000000001819"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15 000 HTG</w:t>
            </w:r>
          </w:p>
        </w:tc>
      </w:tr>
      <w:tr>
        <w:tc>
          <w:tcPr>
            <w:tcW w:type="dxa" w:w="1888"/>
            <w:tcMar>
              <w:top w:w="80" w:type="dxa"/>
              <w:bottom w:w="80" w:type="dxa"/>
              <w:left w:w="120" w:type="dxa"/>
              <w:right w:w="120" w:type="dxa"/>
            </w:tcMar>
            <w:shd w:val="clear" w:color="auto" w:fill="F4F7F6"/>
          </w:tcPr>
          <w:p>
            <w:r>
              <w:rPr>
                <w:rFonts w:ascii="Calibri" w:hAnsi="Calibri"/>
                <w:color w:val="333333"/>
              </w:rPr>
              <w:t>Bénéfice net cumulé (HTG)</w:t>
            </w:r>
          </w:p>
        </w:tc>
        <w:tc>
          <w:tcPr>
            <w:tcW w:type="dxa" w:w="1888"/>
            <w:tcMar>
              <w:top w:w="80" w:type="dxa"/>
              <w:bottom w:w="80" w:type="dxa"/>
              <w:left w:w="120" w:type="dxa"/>
              <w:right w:w="120" w:type="dxa"/>
            </w:tcMar>
            <w:shd w:val="clear" w:color="auto" w:fill="F4F7F6"/>
          </w:tcPr>
          <w:p>
            <w:r>
              <w:rPr>
                <w:rFonts w:ascii="Calibri" w:hAnsi="Calibri"/>
                <w:color w:val="333333"/>
              </w:rPr>
              <w:t>(1 040 000 HTG)</w:t>
            </w:r>
          </w:p>
        </w:tc>
        <w:tc>
          <w:tcPr>
            <w:tcW w:type="dxa" w:w="1888"/>
            <w:tcMar>
              <w:top w:w="80" w:type="dxa"/>
              <w:bottom w:w="80" w:type="dxa"/>
              <w:left w:w="120" w:type="dxa"/>
              <w:right w:w="120" w:type="dxa"/>
            </w:tcMar>
            <w:shd w:val="clear" w:color="auto" w:fill="F4F7F6"/>
          </w:tcPr>
          <w:p>
            <w:r>
              <w:rPr>
                <w:rFonts w:ascii="Calibri" w:hAnsi="Calibri"/>
                <w:color w:val="333333"/>
              </w:rPr>
              <w:t>(8 000 HTG)</w:t>
            </w:r>
          </w:p>
        </w:tc>
        <w:tc>
          <w:tcPr>
            <w:tcW w:type="dxa" w:w="1888"/>
            <w:tcMar>
              <w:top w:w="80" w:type="dxa"/>
              <w:bottom w:w="80" w:type="dxa"/>
              <w:left w:w="120" w:type="dxa"/>
              <w:right w:w="120" w:type="dxa"/>
            </w:tcMar>
            <w:shd w:val="clear" w:color="auto" w:fill="F4F7F6"/>
          </w:tcPr>
          <w:p>
            <w:r>
              <w:rPr>
                <w:rFonts w:ascii="Calibri" w:hAnsi="Calibri"/>
                <w:color w:val="333333"/>
              </w:rPr>
              <w:t>+282 000 HTG</w:t>
            </w:r>
          </w:p>
        </w:tc>
        <w:tc>
          <w:tcPr>
            <w:tcW w:type="dxa" w:w="1888"/>
            <w:tcMar>
              <w:top w:w="80" w:type="dxa"/>
              <w:bottom w:w="80" w:type="dxa"/>
              <w:left w:w="120" w:type="dxa"/>
              <w:right w:w="120" w:type="dxa"/>
            </w:tcMar>
            <w:shd w:val="clear" w:color="auto" w:fill="F4F7F6"/>
          </w:tcPr>
          <w:p>
            <w:r>
              <w:rPr>
                <w:rFonts w:ascii="Calibri" w:hAnsi="Calibri"/>
                <w:color w:val="333333"/>
              </w:rPr>
              <w:t>+522 000 HTG</w:t>
            </w:r>
          </w:p>
        </w:tc>
      </w:tr>
    </w:tbl>
    <w:p>
      <w:pPr>
        <w:spacing w:line="276" w:lineRule="auto" w:after="120"/>
        <w:sectPr>
          <w:pgSz w:w="12240" w:h="15840"/>
          <w:pgMar w:top="1152" w:right="1440" w:bottom="1152" w:left="1440" w:header="720" w:footer="720" w:gutter="0"/>
          <w:cols/>
          <w:docGrid w:linePitch="360"/>
        </w:sectPr>
      </w:pPr>
    </w:p>
    <w:tbl>
      <w:tblPr>
        <w:tblW w:type="auto" w:w="0"/>
        <w:tblLayout w:type="fixed"/>
        <w:tblLook w:firstColumn="1" w:firstRow="1" w:lastColumn="0" w:lastRow="0" w:noHBand="0" w:noVBand="1" w:val="04A0"/>
        <w:tblInd w:w="20.0" w:type="dxa"/>
      </w:tblPr>
      <w:tblGrid>
        <w:gridCol w:w="1888"/>
        <w:gridCol w:w="1888"/>
        <w:gridCol w:w="1888"/>
        <w:gridCol w:w="1888"/>
        <w:gridCol w:w="1888"/>
      </w:tblGrid>
      <w:tr>
        <w:trPr>
          <w:trHeight w:hRule="exact" w:val="416"/>
        </w:trPr>
        <w:tc>
          <w:tcPr>
            <w:tcW w:type="dxa" w:w="2698"/>
            <w:tcBorders>
              <w:start w:sz="0.7999999999999545" w:val="single" w:color="#AAAAAA"/>
              <w:top w:sz="0.7999999999999545" w:val="single" w:color="#AAAAAA"/>
              <w:end w:sz="0.7999999999999545"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jc w:val="center"/>
            </w:pPr>
          </w:p>
        </w:tc>
        <w:tc>
          <w:tcPr>
            <w:tcW w:type="dxa" w:w="1602"/>
            <w:tcBorders>
              <w:start w:sz="0.7999999999999545" w:val="single" w:color="#AAAAAA"/>
              <w:top w:sz="0.7999999999999545" w:val="single" w:color="#AAAAAA"/>
              <w:end w:sz="1.6000000000003638"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24" w:right="0" w:firstLine="0"/>
              <w:jc w:val="center"/>
            </w:pPr>
            <w:r>
              <w:rPr>
                <w:rFonts w:ascii="Calibri" w:hAnsi="Calibri" w:eastAsia="Arial,Bold"/>
                <w:b/>
                <w:i w:val="0"/>
                <w:color w:val="FFFFFF"/>
                <w:sz w:val="20"/>
              </w:rPr>
              <w:t>Solution 1</w:t>
            </w:r>
          </w:p>
        </w:tc>
        <w:tc>
          <w:tcPr>
            <w:tcW w:type="dxa" w:w="1602"/>
            <w:tcBorders>
              <w:start w:sz="1.6000000000003638"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Solution 2</w:t>
            </w:r>
          </w:p>
        </w:tc>
        <w:tc>
          <w:tcPr>
            <w:tcW w:type="dxa" w:w="1600"/>
            <w:tcBorders>
              <w:start w:sz="0.8000000000001819"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Solution 3</w:t>
            </w:r>
          </w:p>
        </w:tc>
        <w:tc>
          <w:tcPr>
            <w:tcW w:type="dxa" w:w="1858"/>
            <w:tcBorders>
              <w:start w:sz="0.8000000000001819"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4" w:lineRule="exact" w:before="84" w:after="0"/>
              <w:ind w:left="118" w:right="0" w:firstLine="0"/>
              <w:jc w:val="center"/>
            </w:pPr>
            <w:r>
              <w:rPr>
                <w:rFonts w:ascii="Calibri" w:hAnsi="Calibri" w:eastAsia="Arial,Bold"/>
                <w:b/>
                <w:i w:val="0"/>
                <w:color w:val="FFFFFF"/>
                <w:sz w:val="20"/>
              </w:rPr>
              <w:t>Solution 4</w:t>
            </w:r>
          </w:p>
        </w:tc>
      </w:tr>
      <w:tr>
        <w:trPr>
          <w:trHeight w:hRule="exact" w:val="350"/>
        </w:trPr>
        <w:tc>
          <w:tcPr>
            <w:tcW w:type="dxa" w:w="2698"/>
            <w:tcBorders>
              <w:start w:sz="0.7999999999999545" w:val="single" w:color="#AAAAAA"/>
              <w:top w:sz="0.7999999999999545" w:val="single" w:color="#AAAAAA"/>
              <w:end w:sz="0.7999999999999545" w:val="single" w:color="#AAAAAA"/>
              <w:bottom w:sz="0.800000000000068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Bénéfice net annuel (HTG)</w:t>
            </w:r>
          </w:p>
        </w:tc>
        <w:tc>
          <w:tcPr>
            <w:tcW w:type="dxa" w:w="1602"/>
            <w:tcBorders>
              <w:start w:sz="0.7999999999999545" w:val="single" w:color="#AAAAAA"/>
              <w:top w:sz="0.7999999999999545" w:val="single" w:color="#AAAAAA"/>
              <w:end w:sz="1.6000000000003638" w:val="single" w:color="#AAAAAA"/>
              <w:bottom w:sz="0.800000000000068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(520 000 HTG)</w:t>
            </w:r>
          </w:p>
        </w:tc>
        <w:tc>
          <w:tcPr>
            <w:tcW w:type="dxa" w:w="1602"/>
            <w:tcBorders>
              <w:start w:sz="1.6000000000003638" w:val="single" w:color="#AAAAAA"/>
              <w:top w:sz="0.7999999999999545" w:val="single" w:color="#AAAAAA"/>
              <w:end w:sz="0.8000000000001819" w:val="single" w:color="#AAAAAA"/>
              <w:bottom w:sz="0.800000000000068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+115 000 HTG</w:t>
            </w:r>
          </w:p>
        </w:tc>
        <w:tc>
          <w:tcPr>
            <w:tcW w:type="dxa" w:w="1600"/>
            <w:tcBorders>
              <w:start w:sz="0.8000000000001819" w:val="single" w:color="#AAAAAA"/>
              <w:top w:sz="0.7999999999999545" w:val="single" w:color="#AAAAAA"/>
              <w:end w:sz="0.8000000000001819" w:val="single" w:color="#AAAAAA"/>
              <w:bottom w:sz="0.800000000000068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+295 000 HTG</w:t>
            </w:r>
          </w:p>
        </w:tc>
        <w:tc>
          <w:tcPr>
            <w:tcW w:type="dxa" w:w="1858"/>
            <w:tcBorders>
              <w:start w:sz="0.8000000000001819" w:val="single" w:color="#AAAAAA"/>
              <w:top w:sz="0.7999999999999545" w:val="single" w:color="#AAAAAA"/>
              <w:end w:sz="0.8000000000001819" w:val="single" w:color="#AAAAAA"/>
              <w:bottom w:sz="0.800000000000068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+445 000 HTG</w:t>
            </w:r>
          </w:p>
        </w:tc>
      </w:tr>
    </w:tbl>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7. Faisabilité et risques technologiques </w:t>
      </w:r>
    </w:p>
    <w:tbl>
      <w:tblPr>
        <w:tblW w:type="auto" w:w="0"/>
        <w:tblLayout w:type="fixed"/>
        <w:tblLook w:firstColumn="1" w:firstRow="1" w:lastColumn="0" w:lastRow="0" w:noHBand="0" w:noVBand="1" w:val="04A0"/>
        <w:tblInd w:w="20.0" w:type="dxa"/>
      </w:tblPr>
      <w:tblGrid>
        <w:gridCol w:w="2360"/>
        <w:gridCol w:w="2360"/>
        <w:gridCol w:w="2360"/>
        <w:gridCol w:w="2360"/>
      </w:tblGrid>
      <w:tr>
        <w:trPr>
          <w:trHeight w:hRule="exact" w:val="392"/>
        </w:trPr>
        <w:tc>
          <w:tcPr>
            <w:tcW w:type="dxa" w:w="2198"/>
            <w:tcBorders>
              <w:start w:sz="0.7999999999999545" w:val="single" w:color="#AAAAAA"/>
              <w:top w:sz="0.7999999999999545" w:val="single" w:color="#AAAAAA"/>
              <w:end w:sz="0.7999999999999545"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Solution</w:t>
            </w:r>
          </w:p>
        </w:tc>
        <w:tc>
          <w:tcPr>
            <w:tcW w:type="dxa" w:w="1602"/>
            <w:tcBorders>
              <w:start w:sz="0.7999999999999545" w:val="single" w:color="#AAAAAA"/>
              <w:top w:sz="0.7999999999999545" w:val="single" w:color="#AAAAAA"/>
              <w:end w:sz="1.6000000000003638"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2" w:right="0" w:firstLine="0"/>
              <w:jc w:val="center"/>
            </w:pPr>
            <w:r>
              <w:rPr>
                <w:rFonts w:ascii="Calibri" w:hAnsi="Calibri" w:eastAsia="Arial,Bold"/>
                <w:b/>
                <w:i w:val="0"/>
                <w:color w:val="FFFFFF"/>
                <w:sz w:val="20"/>
              </w:rPr>
              <w:t>Faisabilité</w:t>
            </w:r>
          </w:p>
        </w:tc>
        <w:tc>
          <w:tcPr>
            <w:tcW w:type="dxa" w:w="3202"/>
            <w:tcBorders>
              <w:start w:sz="1.6000000000003638"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18" w:right="0" w:firstLine="0"/>
              <w:jc w:val="center"/>
            </w:pPr>
            <w:r>
              <w:rPr>
                <w:rFonts w:ascii="Calibri" w:hAnsi="Calibri" w:eastAsia="Arial,Bold"/>
                <w:b/>
                <w:i w:val="0"/>
                <w:color w:val="FFFFFF"/>
                <w:sz w:val="20"/>
              </w:rPr>
              <w:t>Risques principaux</w:t>
            </w:r>
          </w:p>
        </w:tc>
        <w:tc>
          <w:tcPr>
            <w:tcW w:type="dxa" w:w="2358"/>
            <w:tcBorders>
              <w:start w:sz="0.8000000000001819" w:val="single" w:color="#AAAAAA"/>
              <w:top w:sz="0.7999999999999545"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18" w:right="0" w:firstLine="0"/>
              <w:jc w:val="center"/>
            </w:pPr>
            <w:r>
              <w:rPr>
                <w:rFonts w:ascii="Calibri" w:hAnsi="Calibri" w:eastAsia="Arial,Bold"/>
                <w:b/>
                <w:i w:val="0"/>
                <w:color w:val="FFFFFF"/>
                <w:sz w:val="20"/>
              </w:rPr>
              <w:t>Niveau de risque</w:t>
            </w:r>
          </w:p>
        </w:tc>
      </w:tr>
      <w:tr>
        <w:trPr>
          <w:trHeight w:hRule="exact" w:val="810"/>
        </w:trPr>
        <w:tc>
          <w:tcPr>
            <w:tcW w:type="dxa" w:w="2198"/>
            <w:tcBorders>
              <w:start w:sz="0.7999999999999545" w:val="single" w:color="#AAAAAA"/>
              <w:top w:sz="0.7999999999999545" w:val="single" w:color="#AAAAAA"/>
              <w:end w:sz="0.7999999999999545"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45" w:lineRule="auto" w:before="64" w:after="0"/>
              <w:ind w:left="120" w:right="576" w:firstLine="0"/>
              <w:jc w:val="left"/>
            </w:pPr>
            <w:r>
              <w:rPr>
                <w:rFonts w:ascii="Calibri" w:hAnsi="Calibri" w:eastAsia="Arial"/>
                <w:b w:val="0"/>
                <w:i w:val="0"/>
                <w:color w:val="333333"/>
                <w:sz w:val="20"/>
              </w:rPr>
              <w:t xml:space="preserve">Solution 1 (non </w:t>
            </w:r>
            <w:r>
              <w:rPr>
                <w:rFonts w:ascii="Calibri" w:hAnsi="Calibri" w:eastAsia="Arial"/>
                <w:b w:val="0"/>
                <w:i w:val="0"/>
                <w:color w:val="333333"/>
                <w:sz w:val="20"/>
              </w:rPr>
              <w:t>informatique)</w:t>
            </w:r>
          </w:p>
        </w:tc>
        <w:tc>
          <w:tcPr>
            <w:tcW w:type="dxa" w:w="1602"/>
            <w:tcBorders>
              <w:start w:sz="0.7999999999999545" w:val="single" w:color="#AAAAAA"/>
              <w:top w:sz="0.7999999999999545" w:val="single" w:color="#AAAAAA"/>
              <w:end w:sz="1.6000000000003638"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Haute</w:t>
            </w:r>
          </w:p>
        </w:tc>
        <w:tc>
          <w:tcPr>
            <w:tcW w:type="dxa" w:w="3202"/>
            <w:tcBorders>
              <w:start w:sz="1.6000000000003638"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Erreurs humaines persistantes, démission ou rotation fréquente du personnel.</w:t>
            </w:r>
          </w:p>
        </w:tc>
        <w:tc>
          <w:tcPr>
            <w:tcW w:type="dxa" w:w="2358"/>
            <w:tcBorders>
              <w:start w:sz="0.8000000000001819"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Élevé</w:t>
            </w:r>
          </w:p>
        </w:tc>
      </w:tr>
      <w:tr>
        <w:trPr>
          <w:trHeight w:hRule="exact" w:val="584"/>
        </w:trPr>
        <w:tc>
          <w:tcPr>
            <w:tcW w:type="dxa" w:w="2198"/>
            <w:tcBorders>
              <w:start w:sz="0.7999999999999545" w:val="single" w:color="#AAAAAA"/>
              <w:top w:sz="0.7999999999999545" w:val="single" w:color="#AAAAAA"/>
              <w:end w:sz="0.7999999999999545" w:val="single" w:color="#AAAAAA"/>
              <w:bottom w:sz="0.7999999999999545"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45" w:lineRule="auto" w:before="66" w:after="0"/>
              <w:ind w:left="120" w:right="144" w:firstLine="0"/>
              <w:jc w:val="left"/>
            </w:pPr>
            <w:r>
              <w:rPr>
                <w:rFonts w:ascii="Calibri" w:hAnsi="Calibri" w:eastAsia="Arial"/>
                <w:b w:val="0"/>
                <w:i w:val="0"/>
                <w:color w:val="333333"/>
                <w:sz w:val="20"/>
              </w:rPr>
              <w:t xml:space="preserve">Solution 2 (progiciel </w:t>
            </w:r>
            <w:r>
              <w:rPr>
                <w:rFonts w:ascii="Calibri" w:hAnsi="Calibri" w:eastAsia="Arial"/>
                <w:b w:val="0"/>
                <w:i w:val="0"/>
                <w:color w:val="333333"/>
                <w:sz w:val="20"/>
              </w:rPr>
              <w:t>standard)</w:t>
            </w:r>
          </w:p>
        </w:tc>
        <w:tc>
          <w:tcPr>
            <w:tcW w:type="dxa" w:w="1602"/>
            <w:tcBorders>
              <w:start w:sz="0.7999999999999545" w:val="single" w:color="#AAAAAA"/>
              <w:top w:sz="0.7999999999999545" w:val="single" w:color="#AAAAAA"/>
              <w:end w:sz="1.6000000000003638"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Moyenne</w:t>
            </w:r>
          </w:p>
        </w:tc>
        <w:tc>
          <w:tcPr>
            <w:tcW w:type="dxa" w:w="3202"/>
            <w:tcBorders>
              <w:start w:sz="1.6000000000003638"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Incompatibilité de l'ERP avec l'imprimante thermique locale, dépendance à Internet. (Plan de contingence: Connexion satellite coûteuse).</w:t>
            </w:r>
          </w:p>
        </w:tc>
        <w:tc>
          <w:tcPr>
            <w:tcW w:type="dxa" w:w="2358"/>
            <w:tcBorders>
              <w:start w:sz="0.8000000000001819"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Moyen</w:t>
            </w:r>
          </w:p>
        </w:tc>
      </w:tr>
      <w:tr>
        <w:trPr>
          <w:trHeight w:hRule="exact" w:val="580"/>
        </w:trPr>
        <w:tc>
          <w:tcPr>
            <w:tcW w:type="dxa" w:w="2198"/>
            <w:tcBorders>
              <w:start w:sz="0.7999999999999545" w:val="single" w:color="#AAAAAA"/>
              <w:top w:sz="0.7999999999999545" w:val="single" w:color="#AAAAAA"/>
              <w:end w:sz="0.7999999999999545"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45" w:lineRule="auto" w:before="64" w:after="0"/>
              <w:ind w:left="120" w:right="144" w:firstLine="0"/>
              <w:jc w:val="left"/>
            </w:pPr>
            <w:r>
              <w:rPr>
                <w:rFonts w:ascii="Calibri" w:hAnsi="Calibri" w:eastAsia="Arial"/>
                <w:b w:val="0"/>
                <w:i w:val="0"/>
                <w:color w:val="333333"/>
                <w:sz w:val="20"/>
              </w:rPr>
              <w:t xml:space="preserve">Solution 3 (progiciel </w:t>
            </w:r>
            <w:r>
              <w:rPr>
                <w:rFonts w:ascii="Calibri" w:hAnsi="Calibri" w:eastAsia="Arial"/>
                <w:b w:val="0"/>
                <w:i w:val="0"/>
                <w:color w:val="333333"/>
                <w:sz w:val="20"/>
              </w:rPr>
              <w:t>adapté)</w:t>
            </w:r>
          </w:p>
        </w:tc>
        <w:tc>
          <w:tcPr>
            <w:tcW w:type="dxa" w:w="1602"/>
            <w:tcBorders>
              <w:start w:sz="0.7999999999999545" w:val="single" w:color="#AAAAAA"/>
              <w:top w:sz="0.7999999999999545" w:val="single" w:color="#AAAAAA"/>
              <w:end w:sz="1.6000000000003638"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Moyenne à Haute</w:t>
            </w:r>
          </w:p>
        </w:tc>
        <w:tc>
          <w:tcPr>
            <w:tcW w:type="dxa" w:w="3202"/>
            <w:tcBorders>
              <w:start w:sz="1.6000000000003638"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Complexité et instabilité lors de la programmation des modules de fidélité et d'impression. (Plan de contingence: Recours à un intégrateur spécialisé).</w:t>
            </w:r>
          </w:p>
        </w:tc>
        <w:tc>
          <w:tcPr>
            <w:tcW w:type="dxa" w:w="2358"/>
            <w:tcBorders>
              <w:start w:sz="0.8000000000001819"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Moyen</w:t>
            </w:r>
          </w:p>
        </w:tc>
      </w:tr>
      <w:tr>
        <w:trPr>
          <w:trHeight w:hRule="exact" w:val="814"/>
        </w:trPr>
        <w:tc>
          <w:tcPr>
            <w:tcW w:type="dxa" w:w="2198"/>
            <w:tcBorders>
              <w:start w:sz="0.7999999999999545" w:val="single" w:color="#AAAAAA"/>
              <w:top w:sz="0.7999999999999545" w:val="single" w:color="#AAAAAA"/>
              <w:end w:sz="0.7999999999999545" w:val="single" w:color="#AAAAAA"/>
              <w:bottom w:sz="0.8000000000001819"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45" w:lineRule="auto" w:before="66" w:after="0"/>
              <w:ind w:left="120" w:right="144" w:firstLine="0"/>
              <w:jc w:val="left"/>
            </w:pPr>
            <w:r>
              <w:rPr>
                <w:rFonts w:ascii="Calibri" w:hAnsi="Calibri" w:eastAsia="Arial"/>
                <w:b w:val="0"/>
                <w:i w:val="0"/>
                <w:color w:val="333333"/>
                <w:sz w:val="20"/>
              </w:rPr>
              <w:t xml:space="preserve">Solution 4 </w:t>
            </w:r>
            <w:r>
              <w:rPr>
                <w:rFonts w:ascii="Calibri" w:hAnsi="Calibri"/>
                <w:color w:val="333333"/>
              </w:rPr>
              <w:br/>
            </w:r>
            <w:r>
              <w:rPr>
                <w:rFonts w:ascii="Calibri" w:hAnsi="Calibri" w:eastAsia="Arial"/>
                <w:b w:val="0"/>
                <w:i w:val="0"/>
                <w:color w:val="333333"/>
                <w:sz w:val="20"/>
              </w:rPr>
              <w:t xml:space="preserve">(développement sur </w:t>
            </w:r>
            <w:r>
              <w:rPr>
                <w:rFonts w:ascii="Calibri" w:hAnsi="Calibri" w:eastAsia="Arial"/>
                <w:b w:val="0"/>
                <w:i w:val="0"/>
                <w:color w:val="333333"/>
                <w:sz w:val="20"/>
              </w:rPr>
              <w:t>mesure)</w:t>
            </w:r>
          </w:p>
        </w:tc>
        <w:tc>
          <w:tcPr>
            <w:tcW w:type="dxa" w:w="1602"/>
            <w:tcBorders>
              <w:start w:sz="0.7999999999999545" w:val="single" w:color="#AAAAAA"/>
              <w:top w:sz="0.7999999999999545" w:val="single" w:color="#AAAAAA"/>
              <w:end w:sz="1.6000000000003638"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Haute</w:t>
            </w:r>
          </w:p>
        </w:tc>
        <w:tc>
          <w:tcPr>
            <w:tcW w:type="dxa" w:w="3202"/>
            <w:tcBorders>
              <w:start w:sz="1.6000000000003638" w:val="single" w:color="#AAAAAA"/>
              <w:top w:sz="0.7999999999999545"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Retards potentiels de codage, instabilité électrique locale. (Plan de contingence: Onduleur matériel et gestion locale hors-ligne).</w:t>
            </w:r>
          </w:p>
        </w:tc>
        <w:tc>
          <w:tcPr>
            <w:tcW w:type="dxa" w:w="2358"/>
            <w:tcBorders>
              <w:start w:sz="0.8000000000001819" w:val="single" w:color="#AAAAAA"/>
              <w:top w:sz="0.7999999999999545" w:val="single" w:color="#AAAAAA"/>
              <w:end w:sz="0.8000000000001819" w:val="single" w:color="#AAAAAA"/>
              <w:bottom w:sz="0.8000000000001819"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Faible à Moyen</w:t>
            </w:r>
          </w:p>
        </w:tc>
      </w:tr>
    </w:tbl>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8. Recommandation finale </w:t>
      </w:r>
    </w:p>
    <w:p>
      <w:pPr>
        <w:autoSpaceDN w:val="0"/>
        <w:autoSpaceDE w:val="0"/>
        <w:widowControl/>
        <w:spacing w:line="276" w:lineRule="auto" w:before="132" w:after="120"/>
        <w:ind w:left="30" w:right="0" w:firstLine="0"/>
        <w:jc w:val="left"/>
      </w:pPr>
      <w:r>
        <w:rPr>
          <w:rFonts w:ascii="Calibri" w:hAnsi="Calibri"/>
          <w:color w:val="333333"/>
          <w:sz w:val="22"/>
        </w:rPr>
        <w:t>Au terme de cette analyse approfondie, nous recommandons formellement la Solution 4 : Développement d'un logiciel sur mesure en Java et PostgreSQL.</w:t>
      </w:r>
    </w:p>
    <w:p>
      <w:pPr>
        <w:autoSpaceDN w:val="0"/>
        <w:autoSpaceDE w:val="0"/>
        <w:widowControl/>
        <w:spacing w:line="276" w:lineRule="auto" w:before="8" w:after="120"/>
        <w:ind w:left="30" w:right="0" w:firstLine="0"/>
        <w:jc w:val="left"/>
      </w:pPr>
      <w:r>
        <w:rPr>
          <w:rFonts w:ascii="Calibri" w:hAnsi="Calibri" w:eastAsia="Arial"/>
          <w:b w:val="0"/>
          <w:i w:val="0"/>
          <w:color w:val="333333"/>
          <w:sz w:val="22"/>
        </w:rPr>
        <w:t xml:space="preserve">recommandée en s’appuyant sur l’analyse coûts-bénéfices et l’évaluation des risques des </w:t>
      </w:r>
    </w:p>
    <w:p>
      <w:pPr>
        <w:autoSpaceDN w:val="0"/>
        <w:autoSpaceDE w:val="0"/>
        <w:widowControl/>
        <w:spacing w:line="276" w:lineRule="auto" w:before="10" w:after="120"/>
        <w:ind w:left="30" w:right="0" w:firstLine="0"/>
        <w:jc w:val="left"/>
      </w:pPr>
      <w:r>
        <w:rPr>
          <w:rFonts w:ascii="Calibri" w:hAnsi="Calibri" w:eastAsia="Arial"/>
          <w:b w:val="0"/>
          <w:i w:val="0"/>
          <w:color w:val="333333"/>
          <w:sz w:val="22"/>
        </w:rPr>
        <w:t xml:space="preserve">sections précédentes.] </w:t>
      </w:r>
    </w:p>
    <w:p>
      <w:pPr>
        <w:autoSpaceDN w:val="0"/>
        <w:autoSpaceDE w:val="0"/>
        <w:widowControl/>
        <w:spacing w:line="276" w:lineRule="auto" w:before="246" w:after="120"/>
        <w:ind w:left="30" w:right="0" w:firstLine="0"/>
        <w:jc w:val="left"/>
      </w:pPr>
      <w:r>
        <w:rPr>
          <w:rFonts w:ascii="Calibri" w:hAnsi="Calibri" w:eastAsia="Arial,Bold"/>
          <w:b/>
          <w:i w:val="0"/>
          <w:color w:val="333333"/>
          <w:sz w:val="22"/>
        </w:rPr>
        <w:t xml:space="preserve">8.1 Solution recommandée </w:t>
      </w:r>
    </w:p>
    <w:p>
      <w:pPr>
        <w:autoSpaceDN w:val="0"/>
        <w:autoSpaceDE w:val="0"/>
        <w:widowControl/>
        <w:spacing w:line="276" w:lineRule="auto" w:before="90" w:after="120"/>
        <w:ind w:left="30" w:right="0" w:firstLine="0"/>
        <w:jc w:val="left"/>
      </w:pPr>
      <w:r>
        <w:rPr>
          <w:rFonts w:ascii="Calibri" w:hAnsi="Calibri"/>
          <w:color w:val="333333"/>
          <w:sz w:val="22"/>
        </w:rPr>
        <w:t>Développement d'un logiciel de gestion de stock et de fidélisation sur mesure en Java et PostgreSQL (Solution 4). C'est la seule alternative garantissant un alignement à 100% avec les besoins métiers de la quincaillerie, tout en assurant l'indépendance technologique et une rentabilité dès la première année d'exploitation.</w:t>
      </w:r>
    </w:p>
    <w:p>
      <w:pPr>
        <w:autoSpaceDN w:val="0"/>
        <w:autoSpaceDE w:val="0"/>
        <w:widowControl/>
        <w:spacing w:line="276" w:lineRule="auto" w:before="248" w:after="120"/>
        <w:ind w:left="30" w:right="0" w:firstLine="0"/>
        <w:jc w:val="left"/>
      </w:pPr>
      <w:r>
        <w:rPr>
          <w:rFonts w:ascii="Calibri" w:hAnsi="Calibri" w:eastAsia="Arial,Bold"/>
          <w:b/>
          <w:i w:val="0"/>
          <w:color w:val="333333"/>
          <w:sz w:val="22"/>
        </w:rPr>
        <w:t xml:space="preserve">8.2 Justification comparative </w:t>
      </w:r>
    </w:p>
    <w:p>
      <w:pPr>
        <w:autoSpaceDN w:val="0"/>
        <w:tabs>
          <w:tab w:pos="750" w:val="left"/>
        </w:tabs>
        <w:autoSpaceDE w:val="0"/>
        <w:widowControl/>
        <w:spacing w:line="276" w:lineRule="auto" w:before="90" w:after="120"/>
        <w:ind w:left="390" w:right="0" w:firstLine="0"/>
        <w:jc w:val="left"/>
      </w:pPr>
      <w:r>
        <w:rPr>
          <w:rFonts w:ascii="Calibri" w:hAnsi="Calibri"/>
          <w:color w:val="333333"/>
          <w:sz w:val="22"/>
        </w:rPr>
        <w:t xml:space="preserve">• </w:t>
        <w:tab/>
        <w:t>Solution 1 (Manuel) : Rejetée. Bien que facile à court terme, elle engendre une hausse salariale annuelle de 520 000 HTG sans éradiquer les goulots d'étranglement ni fiabiliser les inventaires.</w:t>
      </w:r>
    </w:p>
    <w:p>
      <w:pPr>
        <w:autoSpaceDN w:val="0"/>
        <w:tabs>
          <w:tab w:pos="750" w:val="left"/>
        </w:tabs>
        <w:autoSpaceDE w:val="0"/>
        <w:widowControl/>
        <w:spacing w:line="276" w:lineRule="auto" w:before="68" w:after="120"/>
        <w:ind w:left="390" w:right="0" w:firstLine="0"/>
        <w:jc w:val="left"/>
      </w:pPr>
      <w:r>
        <w:rPr>
          <w:rFonts w:ascii="Calibri" w:hAnsi="Calibri"/>
          <w:color w:val="333333"/>
          <w:sz w:val="22"/>
        </w:rPr>
        <w:t xml:space="preserve">• </w:t>
        <w:tab/>
        <w:t>Solution 2 (ERP Standard) : Rejetée. Elle s'avère trop rigide, inapplicable sans connexion Internet stable et sujette à des frais de licence récurrents et élevés.</w:t>
      </w:r>
    </w:p>
    <w:p>
      <w:pPr>
        <w:autoSpaceDN w:val="0"/>
        <w:tabs>
          <w:tab w:pos="750" w:val="left"/>
        </w:tabs>
        <w:autoSpaceDE w:val="0"/>
        <w:widowControl/>
        <w:spacing w:line="276" w:lineRule="auto" w:before="70" w:after="120"/>
        <w:ind w:left="390" w:right="0" w:firstLine="0"/>
        <w:jc w:val="left"/>
      </w:pPr>
      <w:r>
        <w:rPr>
          <w:rFonts w:ascii="Calibri" w:hAnsi="Calibri"/>
          <w:color w:val="333333"/>
          <w:sz w:val="22"/>
        </w:rPr>
        <w:t xml:space="preserve">• </w:t>
        <w:tab/>
        <w:t>Solution 3 (ERP Adapté) : Rejetée. Elle comporte des risques importants de compatibilité technique pour l'impression thermique directe et le module de fidélité, pour un surcoût d'intégration trop élevé.</w:t>
      </w:r>
    </w:p>
    <w:p>
      <w:pPr>
        <w:autoSpaceDN w:val="0"/>
        <w:tabs>
          <w:tab w:pos="750" w:val="left"/>
        </w:tabs>
        <w:autoSpaceDE w:val="0"/>
        <w:widowControl/>
        <w:spacing w:line="276" w:lineRule="auto" w:before="68" w:after="120"/>
        <w:ind w:left="390" w:right="0" w:firstLine="0"/>
        <w:jc w:val="left"/>
      </w:pPr>
      <w:r>
        <w:rPr>
          <w:rFonts w:ascii="Calibri" w:hAnsi="Calibri"/>
          <w:color w:val="333333"/>
          <w:sz w:val="22"/>
        </w:rPr>
        <w:t xml:space="preserve">• </w:t>
        <w:tab/>
        <w:t>Solution 4 (Sur Mesure) : Retenue. C'est l'unique solution qui résout à la fois la rapidité d'encaissement (impression directe en 58 mm), l'exactitude des stocks (mise à jour en temps réel) et l'automatisation sans faille de la fidélité, le tout sans coûts récurrents de licence et fonctionnant en circuit local autonome.</w:t>
      </w:r>
    </w:p>
    <w:p>
      <w:pPr>
        <w:spacing w:line="276" w:lineRule="auto" w:after="120"/>
        <w:sectPr>
          <w:pgSz w:w="12240" w:h="15840"/>
          <w:pgMar w:top="1152" w:right="1440" w:bottom="1152" w:left="1440" w:header="720" w:footer="720" w:gutter="0"/>
          <w:cols/>
          <w:docGrid w:linePitch="360"/>
        </w:sectPr>
      </w:pP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9. Mandat pour la suite des travaux </w:t>
      </w:r>
    </w:p>
    <w:p>
      <w:pPr>
        <w:autoSpaceDN w:val="0"/>
        <w:autoSpaceDE w:val="0"/>
        <w:widowControl/>
        <w:spacing w:line="276" w:lineRule="auto" w:before="8" w:after="120"/>
        <w:ind w:left="30" w:right="0" w:firstLine="0"/>
        <w:jc w:val="left"/>
      </w:pPr>
      <w:r>
        <w:rPr>
          <w:rFonts w:ascii="Calibri" w:hAnsi="Calibri" w:eastAsia="Arial"/>
          <w:b w:val="0"/>
          <w:i w:val="0"/>
          <w:color w:val="333333"/>
          <w:sz w:val="22"/>
        </w:rPr>
        <w:t xml:space="preserve">recommandée.] </w:t>
      </w:r>
    </w:p>
    <w:tbl>
      <w:tblPr>
        <w:tblW w:type="auto" w:w="0"/>
        <w:tblLayout w:type="fixed"/>
        <w:tblLook w:firstColumn="1" w:firstRow="1" w:lastColumn="0" w:lastRow="0" w:noHBand="0" w:noVBand="1" w:val="04A0"/>
        <w:tblInd w:w="190.0" w:type="dxa"/>
      </w:tblPr>
      <w:tblGrid>
        <w:gridCol w:w="4721"/>
        <w:gridCol w:w="4721"/>
      </w:tblGrid>
      <w:tr>
        <w:trPr>
          <w:trHeight w:hRule="exact" w:val="1286"/>
        </w:trPr>
        <w:tc>
          <w:tcPr>
            <w:tcW w:type="dxa" w:w="440"/>
            <w:tcBorders/>
            <w:tcMar>
              <w:start w:w="0" w:type="dxa"/>
              <w:end w:w="0" w:type="dxa"/>
            </w:tcMar>
          </w:tcPr>
          <w:p>
            <w:pPr>
              <w:autoSpaceDN w:val="0"/>
              <w:autoSpaceDE w:val="0"/>
              <w:widowControl/>
              <w:spacing w:line="281" w:lineRule="auto" w:before="44" w:after="0"/>
              <w:ind w:left="200" w:right="100" w:firstLine="0"/>
              <w:jc w:val="both"/>
            </w:pPr>
            <w:r>
              <w:rPr>
                <w:rFonts w:ascii="Arial" w:hAnsi="Arial" w:eastAsia="Arial"/>
                <w:b w:val="0"/>
                <w:i w:val="0"/>
                <w:color w:val="000000"/>
                <w:sz w:val="22"/>
              </w:rPr>
              <w:t xml:space="preserve">• </w:t>
            </w:r>
            <w:r>
              <w:br/>
            </w:r>
            <w:r>
              <w:rPr>
                <w:rFonts w:ascii="Arial" w:hAnsi="Arial" w:eastAsia="Arial"/>
                <w:b w:val="0"/>
                <w:i w:val="0"/>
                <w:color w:val="000000"/>
                <w:sz w:val="22"/>
              </w:rPr>
              <w:t xml:space="preserve">• </w:t>
            </w:r>
            <w:r>
              <w:br/>
            </w:r>
            <w:r>
              <w:rPr>
                <w:rFonts w:ascii="Arial" w:hAnsi="Arial" w:eastAsia="Arial"/>
                <w:b w:val="0"/>
                <w:i w:val="0"/>
                <w:color w:val="000000"/>
                <w:sz w:val="22"/>
              </w:rPr>
              <w:t xml:space="preserve">• </w:t>
            </w:r>
            <w:r>
              <w:br/>
            </w:r>
            <w:r>
              <w:rPr>
                <w:rFonts w:ascii="Arial" w:hAnsi="Arial" w:eastAsia="Arial"/>
                <w:b w:val="0"/>
                <w:i w:val="0"/>
                <w:color w:val="000000"/>
                <w:sz w:val="22"/>
              </w:rPr>
              <w:t xml:space="preserve">• </w:t>
            </w:r>
          </w:p>
        </w:tc>
        <w:tc>
          <w:tcPr>
            <w:tcW w:type="dxa" w:w="8460"/>
            <w:tcBorders/>
            <w:tcMar>
              <w:start w:w="0" w:type="dxa"/>
              <w:end w:w="0" w:type="dxa"/>
            </w:tcMar>
          </w:tcPr>
          <w:p>
            <w:pPr>
              <w:autoSpaceDN w:val="0"/>
              <w:autoSpaceDE w:val="0"/>
              <w:widowControl/>
              <w:spacing w:line="264" w:lineRule="auto" w:before="44" w:after="0"/>
              <w:ind w:left="120" w:right="288" w:firstLine="0"/>
              <w:jc w:val="left"/>
            </w:pPr>
            <w:r>
              <w:rPr>
                <w:rFonts w:ascii="Arial" w:hAnsi="Arial" w:eastAsia="Arial"/>
                <w:b w:val="0"/>
                <w:i w:val="0"/>
                <w:color w:val="000000"/>
                <w:sz w:val="22"/>
              </w:rPr>
              <w:t xml:space="preserve">Recueillir et documenter l’ensemble des besoins fonctionnels et non fonctionnels. </w:t>
            </w:r>
            <w:r>
              <w:rPr>
                <w:rFonts w:ascii="Arial" w:hAnsi="Arial" w:eastAsia="Arial"/>
                <w:b w:val="0"/>
                <w:i w:val="0"/>
                <w:color w:val="000000"/>
                <w:sz w:val="22"/>
              </w:rPr>
              <w:t xml:space="preserve">Présenter des maquettes d’interfaces pour chaque fonctionnalité clé. </w:t>
            </w:r>
          </w:p>
          <w:p>
            <w:pPr>
              <w:autoSpaceDN w:val="0"/>
              <w:autoSpaceDE w:val="0"/>
              <w:widowControl/>
              <w:spacing w:line="230" w:lineRule="auto" w:before="70" w:after="0"/>
              <w:ind w:left="120" w:right="0" w:firstLine="0"/>
              <w:jc w:val="left"/>
            </w:pPr>
            <w:r>
              <w:rPr>
                <w:rFonts w:ascii="Arial" w:hAnsi="Arial" w:eastAsia="Arial"/>
                <w:b w:val="0"/>
                <w:i w:val="0"/>
                <w:color w:val="000000"/>
                <w:sz w:val="22"/>
              </w:rPr>
              <w:t xml:space="preserve">Définir les contraintes techniques et opérationnelles du système. </w:t>
            </w:r>
          </w:p>
          <w:p>
            <w:pPr>
              <w:autoSpaceDN w:val="0"/>
              <w:autoSpaceDE w:val="0"/>
              <w:widowControl/>
              <w:spacing w:line="230" w:lineRule="auto" w:before="68" w:after="0"/>
              <w:ind w:left="120" w:right="0" w:firstLine="0"/>
              <w:jc w:val="left"/>
            </w:pPr>
            <w:r>
              <w:rPr>
                <w:rFonts w:ascii="Arial" w:hAnsi="Arial" w:eastAsia="Arial"/>
                <w:b w:val="0"/>
                <w:i w:val="0"/>
                <w:color w:val="000000"/>
                <w:sz w:val="22"/>
              </w:rPr>
              <w:t xml:space="preserve">Produire un modèle d’architecture décrivant les caractéristiques du système. </w:t>
            </w:r>
          </w:p>
        </w:tc>
      </w:tr>
    </w:tbl>
    <w:p>
      <w:pPr>
        <w:autoSpaceDN w:val="0"/>
        <w:autoSpaceDE w:val="0"/>
        <w:widowControl/>
        <w:spacing w:line="276" w:lineRule="auto" w:before="0" w:after="120"/>
        <w:ind w:left="0" w:right="0"/>
      </w:pPr>
    </w:p>
    <w:tbl>
      <w:tblPr>
        <w:tblW w:type="auto" w:w="0"/>
        <w:tblLayout w:type="fixed"/>
        <w:tblLook w:firstColumn="1" w:firstRow="1" w:lastColumn="0" w:lastRow="0" w:noHBand="0" w:noVBand="1" w:val="04A0"/>
        <w:tblInd w:w="20.0" w:type="dxa"/>
      </w:tblPr>
      <w:tblGrid>
        <w:gridCol w:w="4721"/>
        <w:gridCol w:w="4721"/>
      </w:tblGrid>
      <w:tr>
        <w:trPr>
          <w:trHeight w:hRule="exact" w:val="392"/>
        </w:trPr>
        <w:tc>
          <w:tcPr>
            <w:tcW w:type="dxa" w:w="4680"/>
            <w:tcBorders>
              <w:start w:sz="0.7999999999999545" w:val="single" w:color="#AAAAAA"/>
              <w:top w:sz="0.7999999999999545" w:val="single" w:color="#AAAAAA"/>
              <w:end w:sz="1.6000000000003638"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6" w:after="0"/>
              <w:ind w:left="120" w:right="0" w:firstLine="0"/>
              <w:jc w:val="center"/>
            </w:pPr>
            <w:r>
              <w:rPr>
                <w:rFonts w:ascii="Calibri" w:hAnsi="Calibri" w:eastAsia="Arial,Bold"/>
                <w:b/>
                <w:i w:val="0"/>
                <w:color w:val="FFFFFF"/>
                <w:sz w:val="20"/>
              </w:rPr>
              <w:t>Responsable (rôle)</w:t>
            </w:r>
          </w:p>
        </w:tc>
        <w:tc>
          <w:tcPr>
            <w:tcW w:type="dxa" w:w="4680"/>
            <w:tcBorders>
              <w:start w:sz="1.6000000000003638" w:val="single" w:color="#AAAAAA"/>
              <w:top w:sz="0.7999999999999545" w:val="single" w:color="#AAAAAA"/>
              <w:end w:sz="0.8000000000001819" w:val="single" w:color="#AAAAAA"/>
              <w:bottom w:sz="0.8000000000001819"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6" w:after="0"/>
              <w:ind w:left="118" w:right="0" w:firstLine="0"/>
              <w:jc w:val="center"/>
            </w:pPr>
            <w:r>
              <w:rPr>
                <w:rFonts w:ascii="Calibri" w:hAnsi="Calibri" w:eastAsia="Arial,Bold"/>
                <w:b/>
                <w:i w:val="0"/>
                <w:color w:val="FFFFFF"/>
                <w:sz w:val="20"/>
              </w:rPr>
              <w:t>Firme mandataire (rôle)</w:t>
            </w:r>
          </w:p>
        </w:tc>
      </w:tr>
      <w:tr>
        <w:trPr>
          <w:trHeight w:hRule="exact" w:val="354"/>
        </w:trPr>
        <w:tc>
          <w:tcPr>
            <w:tcW w:type="dxa" w:w="4680"/>
            <w:tcBorders>
              <w:start w:sz="0.7999999999999545" w:val="single" w:color="#AAAAAA"/>
              <w:top w:sz="0.8000000000001819" w:val="single" w:color="#AAAAAA"/>
              <w:end w:sz="1.6000000000003638"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[Directeur Général]</w:t>
              <w:br/>
              <w:t>Entreprise Rendez-vous</w:t>
            </w:r>
          </w:p>
        </w:tc>
        <w:tc>
          <w:tcPr>
            <w:tcW w:type="dxa" w:w="4680"/>
            <w:tcBorders>
              <w:start w:sz="1.6000000000003638" w:val="single" w:color="#AAAAAA"/>
              <w:top w:sz="0.8000000000001819"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[Chef de Projet Logiciel]</w:t>
              <w:br/>
              <w:t>Billy Rolph EXUME  &amp;  Ruth-Jose Jerome</w:t>
            </w:r>
          </w:p>
        </w:tc>
      </w:tr>
    </w:tbl>
    <w:p>
      <w:pPr>
        <w:autoSpaceDN w:val="0"/>
        <w:autoSpaceDE w:val="0"/>
        <w:widowControl/>
        <w:spacing w:line="276" w:lineRule="auto" w:before="532" w:after="120"/>
        <w:ind w:left="30" w:right="0" w:firstLine="0"/>
        <w:jc w:val="left"/>
      </w:pPr>
      <w:r>
        <w:rPr>
          <w:rFonts w:ascii="Calibri" w:hAnsi="Calibri"/>
          <w:color w:val="333333"/>
          <w:sz w:val="22"/>
        </w:rPr>
        <w:t xml:space="preserve">10. Échéancier de livraison de l'équipe projet </w:t>
      </w:r>
    </w:p>
    <w:tbl>
      <w:tblPr>
        <w:tblW w:type="auto" w:w="0"/>
        <w:tblLayout w:type="fixed"/>
        <w:tblLook w:firstColumn="1" w:firstRow="1" w:lastColumn="0" w:lastRow="0" w:noHBand="0" w:noVBand="1" w:val="04A0"/>
        <w:tblInd w:w="20.0" w:type="dxa"/>
      </w:tblPr>
      <w:tblGrid>
        <w:gridCol w:w="1349"/>
        <w:gridCol w:w="1349"/>
        <w:gridCol w:w="1349"/>
        <w:gridCol w:w="1349"/>
        <w:gridCol w:w="1349"/>
        <w:gridCol w:w="1349"/>
        <w:gridCol w:w="1349"/>
      </w:tblGrid>
      <w:tr>
        <w:trPr>
          <w:trHeight w:hRule="exact" w:val="620"/>
        </w:trPr>
        <w:tc>
          <w:tcPr>
            <w:tcW w:type="dxa" w:w="1982"/>
            <w:tcBorders>
              <w:start w:sz="0.7999999999999545" w:val="single" w:color="#AAAAAA"/>
              <w:top w:sz="0.8000000000000682" w:val="single" w:color="#AAAAAA"/>
              <w:end w:sz="0.7999999999999545"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Livrable</w:t>
            </w:r>
          </w:p>
        </w:tc>
        <w:tc>
          <w:tcPr>
            <w:tcW w:type="dxa" w:w="1398"/>
            <w:tcBorders>
              <w:start w:sz="0.7999999999999545" w:val="single" w:color="#AAAAAA"/>
              <w:top w:sz="0.8000000000000682" w:val="single" w:color="#AAAAAA"/>
              <w:end w:sz="1.59999999999990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0" w:right="0" w:firstLine="0"/>
              <w:jc w:val="center"/>
            </w:pPr>
            <w:r>
              <w:rPr>
                <w:rFonts w:ascii="Calibri" w:hAnsi="Calibri" w:eastAsia="Arial,Bold"/>
                <w:b/>
                <w:i w:val="0"/>
                <w:color w:val="FFFFFF"/>
                <w:sz w:val="20"/>
              </w:rPr>
              <w:t>Participants</w:t>
            </w:r>
          </w:p>
        </w:tc>
        <w:tc>
          <w:tcPr>
            <w:tcW w:type="dxa" w:w="1488"/>
            <w:tcBorders>
              <w:start w:sz="1.599999999999909" w:val="single" w:color="#AAAAAA"/>
              <w:top w:sz="0.8000000000000682" w:val="single" w:color="#AAAAAA"/>
              <w:end w:sz="0.7999999999997272"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0" w:right="0" w:firstLine="0"/>
              <w:jc w:val="center"/>
            </w:pPr>
            <w:r>
              <w:rPr>
                <w:rFonts w:ascii="Calibri" w:hAnsi="Calibri" w:eastAsia="Arial,Bold"/>
                <w:b/>
                <w:i w:val="0"/>
                <w:color w:val="FFFFFF"/>
                <w:sz w:val="20"/>
              </w:rPr>
              <w:t>Responsable</w:t>
            </w:r>
          </w:p>
        </w:tc>
        <w:tc>
          <w:tcPr>
            <w:tcW w:type="dxa" w:w="944"/>
            <w:tcBorders>
              <w:start w:sz="0.7999999999997272" w:val="single" w:color="#AAAAAA"/>
              <w:top w:sz="0.8000000000000682"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20" w:right="0" w:firstLine="0"/>
              <w:jc w:val="center"/>
            </w:pPr>
            <w:r>
              <w:rPr>
                <w:rFonts w:ascii="Calibri" w:hAnsi="Calibri" w:eastAsia="Arial,Bold"/>
                <w:b/>
                <w:i w:val="0"/>
                <w:color w:val="FFFFFF"/>
                <w:sz w:val="20"/>
              </w:rPr>
              <w:t>Début</w:t>
            </w:r>
          </w:p>
        </w:tc>
        <w:tc>
          <w:tcPr>
            <w:tcW w:type="dxa" w:w="936"/>
            <w:tcBorders>
              <w:start w:sz="0.8000000000001819" w:val="single" w:color="#AAAAAA"/>
              <w:top w:sz="0.8000000000000682" w:val="single" w:color="#AAAAAA"/>
              <w:end w:sz="0.7999999999997272"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22" w:lineRule="exact" w:before="84" w:after="0"/>
              <w:ind w:left="118" w:right="0" w:firstLine="0"/>
              <w:jc w:val="center"/>
            </w:pPr>
            <w:r>
              <w:rPr>
                <w:rFonts w:ascii="Calibri" w:hAnsi="Calibri" w:eastAsia="Arial,Bold"/>
                <w:b/>
                <w:i w:val="0"/>
                <w:color w:val="FFFFFF"/>
                <w:sz w:val="20"/>
              </w:rPr>
              <w:t>Fin</w:t>
            </w:r>
          </w:p>
        </w:tc>
        <w:tc>
          <w:tcPr>
            <w:tcW w:type="dxa" w:w="806"/>
            <w:tcBorders>
              <w:start w:sz="0.7999999999997272" w:val="single" w:color="#AAAAAA"/>
              <w:top w:sz="0.8000000000000682"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30" w:lineRule="exact" w:before="76" w:after="0"/>
              <w:ind w:left="120" w:right="0" w:firstLine="0"/>
              <w:jc w:val="center"/>
            </w:pPr>
            <w:r>
              <w:rPr>
                <w:rFonts w:ascii="Calibri" w:hAnsi="Calibri" w:eastAsia="Arial,Bold"/>
                <w:b/>
                <w:i w:val="0"/>
                <w:color w:val="FFFFFF"/>
                <w:sz w:val="20"/>
              </w:rPr>
              <w:t xml:space="preserve">Durée </w:t>
            </w:r>
            <w:r>
              <w:rPr>
                <w:rFonts w:ascii="Calibri" w:hAnsi="Calibri" w:eastAsia="Arial,Bold"/>
                <w:b/>
                <w:i w:val="0"/>
                <w:color w:val="FFFFFF"/>
                <w:sz w:val="20"/>
              </w:rPr>
              <w:t>(h)</w:t>
            </w:r>
          </w:p>
        </w:tc>
        <w:tc>
          <w:tcPr>
            <w:tcW w:type="dxa" w:w="808"/>
            <w:tcBorders>
              <w:start w:sz="0.8000000000001819" w:val="single" w:color="#AAAAAA"/>
              <w:top w:sz="0.8000000000000682" w:val="single" w:color="#AAAAAA"/>
              <w:end w:sz="0.8000000000001819" w:val="single" w:color="#AAAAAA"/>
              <w:bottom w:sz="0.7999999999999545" w:val="single" w:color="#AAAAAA"/>
            </w:tcBorders>
            <w:shd w:fill="1f4e79"/>
            <w:tcMar>
              <w:start w:w="0" w:type="dxa"/>
              <w:end w:w="0" w:type="dxa"/>
            </w:tcMar>
            <w:tcMar>
              <w:top w:w="80" w:type="dxa"/>
              <w:bottom w:w="80" w:type="dxa"/>
              <w:left w:w="120" w:type="dxa"/>
              <w:right w:w="120" w:type="dxa"/>
            </w:tcMar>
            <w:shd w:val="clear" w:color="auto" w:fill="1B365D"/>
          </w:tcPr>
          <w:p>
            <w:pPr>
              <w:autoSpaceDN w:val="0"/>
              <w:autoSpaceDE w:val="0"/>
              <w:widowControl/>
              <w:spacing w:line="230" w:lineRule="exact" w:before="76" w:after="0"/>
              <w:ind w:left="120" w:right="0" w:firstLine="0"/>
              <w:jc w:val="center"/>
            </w:pPr>
            <w:r>
              <w:rPr>
                <w:rFonts w:ascii="Calibri" w:hAnsi="Calibri" w:eastAsia="Arial,Bold"/>
                <w:b/>
                <w:i w:val="0"/>
                <w:color w:val="FFFFFF"/>
                <w:sz w:val="20"/>
              </w:rPr>
              <w:t xml:space="preserve">Durée </w:t>
            </w:r>
            <w:r>
              <w:rPr>
                <w:rFonts w:ascii="Calibri" w:hAnsi="Calibri" w:eastAsia="Arial,Bold"/>
                <w:b/>
                <w:i w:val="0"/>
                <w:color w:val="FFFFFF"/>
                <w:sz w:val="20"/>
              </w:rPr>
              <w:t>(j)</w:t>
            </w:r>
          </w:p>
        </w:tc>
      </w:tr>
      <w:tr>
        <w:trPr>
          <w:trHeight w:hRule="exact" w:val="584"/>
        </w:trPr>
        <w:tc>
          <w:tcPr>
            <w:tcW w:type="dxa" w:w="1982"/>
            <w:tcBorders>
              <w:start w:sz="0.7999999999999545" w:val="single" w:color="#AAAAAA"/>
              <w:top w:sz="0.7999999999999545" w:val="single" w:color="#AAAAAA"/>
              <w:end w:sz="0.7999999999999545"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45" w:lineRule="auto" w:before="66" w:after="0"/>
              <w:ind w:left="120" w:right="0" w:firstLine="0"/>
              <w:jc w:val="left"/>
            </w:pPr>
            <w:r>
              <w:rPr>
                <w:rFonts w:ascii="Calibri" w:hAnsi="Calibri" w:eastAsia="Arial"/>
                <w:b w:val="0"/>
                <w:i w:val="0"/>
                <w:color w:val="333333"/>
                <w:sz w:val="20"/>
              </w:rPr>
              <w:t xml:space="preserve">Étude d’opportunité </w:t>
            </w:r>
            <w:r>
              <w:rPr>
                <w:rFonts w:ascii="Calibri" w:hAnsi="Calibri" w:eastAsia="Arial"/>
                <w:b w:val="0"/>
                <w:i w:val="0"/>
                <w:color w:val="333333"/>
                <w:sz w:val="20"/>
              </w:rPr>
              <w:t>(EO)</w:t>
            </w:r>
          </w:p>
        </w:tc>
        <w:tc>
          <w:tcPr>
            <w:tcW w:type="dxa" w:w="1398"/>
            <w:tcBorders>
              <w:start w:sz="0.7999999999999545" w:val="single" w:color="#AAAAAA"/>
              <w:top w:sz="0.7999999999999545" w:val="single" w:color="#AAAAAA"/>
              <w:end w:sz="1.59999999999990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Équipe entière</w:t>
            </w:r>
          </w:p>
        </w:tc>
        <w:tc>
          <w:tcPr>
            <w:tcW w:type="dxa" w:w="1488"/>
            <w:tcBorders>
              <w:start w:sz="1.599999999999909" w:val="single" w:color="#AAAAAA"/>
              <w:top w:sz="0.7999999999999545" w:val="single" w:color="#AAAAAA"/>
              <w:end w:sz="0.7999999999997272"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Analyste Logiciel</w:t>
            </w:r>
          </w:p>
        </w:tc>
        <w:tc>
          <w:tcPr>
            <w:tcW w:type="dxa" w:w="944"/>
            <w:tcBorders>
              <w:start w:sz="0.7999999999997272"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15/05/2026</w:t>
            </w:r>
          </w:p>
        </w:tc>
        <w:tc>
          <w:tcPr>
            <w:tcW w:type="dxa" w:w="936"/>
            <w:tcBorders>
              <w:start w:sz="0.8000000000001819" w:val="single" w:color="#AAAAAA"/>
              <w:top w:sz="0.7999999999999545" w:val="single" w:color="#AAAAAA"/>
              <w:end w:sz="0.7999999999997272"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27/05/2026</w:t>
            </w:r>
          </w:p>
        </w:tc>
        <w:tc>
          <w:tcPr>
            <w:tcW w:type="dxa" w:w="806"/>
            <w:tcBorders>
              <w:start w:sz="0.7999999999997272"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60 h</w:t>
            </w:r>
          </w:p>
        </w:tc>
        <w:tc>
          <w:tcPr>
            <w:tcW w:type="dxa" w:w="808"/>
            <w:tcBorders>
              <w:start w:sz="0.8000000000001819"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12 j</w:t>
            </w:r>
          </w:p>
        </w:tc>
      </w:tr>
      <w:tr>
        <w:trPr>
          <w:trHeight w:hRule="exact" w:val="810"/>
        </w:trPr>
        <w:tc>
          <w:tcPr>
            <w:tcW w:type="dxa" w:w="1982"/>
            <w:tcBorders>
              <w:start w:sz="0.7999999999999545" w:val="single" w:color="#AAAAAA"/>
              <w:top w:sz="0.7999999999999545" w:val="single" w:color="#AAAAAA"/>
              <w:end w:sz="0.7999999999999545" w:val="single" w:color="#AAAAAA"/>
              <w:bottom w:sz="0.7999999999999545"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45" w:lineRule="auto" w:before="64" w:after="0"/>
              <w:ind w:left="120" w:right="288" w:firstLine="0"/>
              <w:jc w:val="left"/>
            </w:pPr>
            <w:r>
              <w:rPr>
                <w:rFonts w:ascii="Calibri" w:hAnsi="Calibri" w:eastAsia="Arial"/>
                <w:b w:val="0"/>
                <w:i w:val="0"/>
                <w:color w:val="333333"/>
                <w:sz w:val="20"/>
              </w:rPr>
              <w:t xml:space="preserve">Description du </w:t>
            </w:r>
            <w:r>
              <w:rPr>
                <w:rFonts w:ascii="Calibri" w:hAnsi="Calibri"/>
                <w:color w:val="333333"/>
              </w:rPr>
              <w:br/>
            </w:r>
            <w:r>
              <w:rPr>
                <w:rFonts w:ascii="Calibri" w:hAnsi="Calibri" w:eastAsia="Arial"/>
                <w:b w:val="0"/>
                <w:i w:val="0"/>
                <w:color w:val="333333"/>
                <w:sz w:val="20"/>
              </w:rPr>
              <w:t xml:space="preserve">problème et des </w:t>
            </w:r>
            <w:r>
              <w:rPr>
                <w:rFonts w:ascii="Calibri" w:hAnsi="Calibri" w:eastAsia="Arial"/>
                <w:b w:val="0"/>
                <w:i w:val="0"/>
                <w:color w:val="333333"/>
                <w:sz w:val="20"/>
              </w:rPr>
              <w:t>exigences (DPE)</w:t>
            </w:r>
          </w:p>
        </w:tc>
        <w:tc>
          <w:tcPr>
            <w:tcW w:type="dxa" w:w="1398"/>
            <w:tcBorders>
              <w:start w:sz="0.7999999999999545" w:val="single" w:color="#AAAAAA"/>
              <w:top w:sz="0.7999999999999545" w:val="single" w:color="#AAAAAA"/>
              <w:end w:sz="1.59999999999990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Analyste, Client</w:t>
            </w:r>
          </w:p>
        </w:tc>
        <w:tc>
          <w:tcPr>
            <w:tcW w:type="dxa" w:w="1488"/>
            <w:tcBorders>
              <w:start w:sz="1.599999999999909" w:val="single" w:color="#AAAAAA"/>
              <w:top w:sz="0.7999999999999545" w:val="single" w:color="#AAAAAA"/>
              <w:end w:sz="0.7999999999997272"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Analyste Logiciel</w:t>
            </w:r>
          </w:p>
        </w:tc>
        <w:tc>
          <w:tcPr>
            <w:tcW w:type="dxa" w:w="944"/>
            <w:tcBorders>
              <w:start w:sz="0.7999999999997272"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28/05/2026</w:t>
            </w:r>
          </w:p>
        </w:tc>
        <w:tc>
          <w:tcPr>
            <w:tcW w:type="dxa" w:w="936"/>
            <w:tcBorders>
              <w:start w:sz="0.8000000000001819" w:val="single" w:color="#AAAAAA"/>
              <w:top w:sz="0.7999999999999545" w:val="single" w:color="#AAAAAA"/>
              <w:end w:sz="0.7999999999997272"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31/05/2026</w:t>
            </w:r>
          </w:p>
        </w:tc>
        <w:tc>
          <w:tcPr>
            <w:tcW w:type="dxa" w:w="806"/>
            <w:tcBorders>
              <w:start w:sz="0.7999999999997272"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20 h</w:t>
            </w:r>
          </w:p>
        </w:tc>
        <w:tc>
          <w:tcPr>
            <w:tcW w:type="dxa" w:w="808"/>
            <w:tcBorders>
              <w:start w:sz="0.8000000000001819" w:val="single" w:color="#AAAAAA"/>
              <w:top w:sz="0.7999999999999545" w:val="single" w:color="#AAAAAA"/>
              <w:end w:sz="0.8000000000001819" w:val="single" w:color="#AAAAAA"/>
              <w:bottom w:sz="0.7999999999999545"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4 j</w:t>
            </w:r>
          </w:p>
        </w:tc>
      </w:tr>
      <w:tr>
        <w:trPr>
          <w:trHeight w:hRule="exact" w:val="814"/>
        </w:trPr>
        <w:tc>
          <w:tcPr>
            <w:tcW w:type="dxa" w:w="1982"/>
            <w:tcBorders>
              <w:start w:sz="0.7999999999999545" w:val="single" w:color="#AAAAAA"/>
              <w:top w:sz="0.7999999999999545" w:val="single" w:color="#AAAAAA"/>
              <w:end w:sz="0.7999999999999545"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45" w:lineRule="auto" w:before="66" w:after="0"/>
              <w:ind w:left="120" w:right="432" w:firstLine="0"/>
              <w:jc w:val="left"/>
            </w:pPr>
            <w:r>
              <w:rPr>
                <w:rFonts w:ascii="Calibri" w:hAnsi="Calibri" w:eastAsia="Arial"/>
                <w:b w:val="0"/>
                <w:i w:val="0"/>
                <w:color w:val="333333"/>
                <w:sz w:val="20"/>
              </w:rPr>
              <w:t xml:space="preserve">Spécification et </w:t>
            </w:r>
            <w:r>
              <w:rPr>
                <w:rFonts w:ascii="Calibri" w:hAnsi="Calibri" w:eastAsia="Arial"/>
                <w:b w:val="0"/>
                <w:i w:val="0"/>
                <w:color w:val="333333"/>
                <w:sz w:val="20"/>
              </w:rPr>
              <w:t xml:space="preserve">exigences du </w:t>
            </w:r>
            <w:r>
              <w:rPr>
                <w:rFonts w:ascii="Calibri" w:hAnsi="Calibri"/>
                <w:color w:val="333333"/>
              </w:rPr>
              <w:br/>
            </w:r>
            <w:r>
              <w:rPr>
                <w:rFonts w:ascii="Calibri" w:hAnsi="Calibri" w:eastAsia="Arial"/>
                <w:b w:val="0"/>
                <w:i w:val="0"/>
                <w:color w:val="333333"/>
                <w:sz w:val="20"/>
              </w:rPr>
              <w:t>logiciel (SEL)</w:t>
            </w:r>
          </w:p>
        </w:tc>
        <w:tc>
          <w:tcPr>
            <w:tcW w:type="dxa" w:w="1398"/>
            <w:tcBorders>
              <w:start w:sz="0.7999999999999545" w:val="single" w:color="#AAAAAA"/>
              <w:top w:sz="0.7999999999999545" w:val="single" w:color="#AAAAAA"/>
              <w:end w:sz="1.59999999999990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Concepteur, Client</w:t>
            </w:r>
          </w:p>
        </w:tc>
        <w:tc>
          <w:tcPr>
            <w:tcW w:type="dxa" w:w="1488"/>
            <w:tcBorders>
              <w:start w:sz="1.599999999999909" w:val="single" w:color="#AAAAAA"/>
              <w:top w:sz="0.7999999999999545" w:val="single" w:color="#AAAAAA"/>
              <w:end w:sz="0.7999999999997272"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Concepteur UI/UX</w:t>
            </w:r>
          </w:p>
        </w:tc>
        <w:tc>
          <w:tcPr>
            <w:tcW w:type="dxa" w:w="944"/>
            <w:tcBorders>
              <w:start w:sz="0.7999999999997272"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01/06/2026</w:t>
            </w:r>
          </w:p>
        </w:tc>
        <w:tc>
          <w:tcPr>
            <w:tcW w:type="dxa" w:w="936"/>
            <w:tcBorders>
              <w:start w:sz="0.8000000000001819" w:val="single" w:color="#AAAAAA"/>
              <w:top w:sz="0.7999999999999545" w:val="single" w:color="#AAAAAA"/>
              <w:end w:sz="0.7999999999997272"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05/06/2026</w:t>
            </w:r>
          </w:p>
        </w:tc>
        <w:tc>
          <w:tcPr>
            <w:tcW w:type="dxa" w:w="806"/>
            <w:tcBorders>
              <w:start w:sz="0.7999999999997272"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25 h</w:t>
            </w:r>
          </w:p>
        </w:tc>
        <w:tc>
          <w:tcPr>
            <w:tcW w:type="dxa" w:w="808"/>
            <w:tcBorders>
              <w:start w:sz="0.8000000000001819" w:val="single" w:color="#AAAAAA"/>
              <w:top w:sz="0.7999999999999545" w:val="single" w:color="#AAAAAA"/>
              <w:end w:sz="0.8000000000001819" w:val="single" w:color="#AAAAAA"/>
              <w:bottom w:sz="0.7999999999999545"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5 j</w:t>
            </w:r>
          </w:p>
        </w:tc>
      </w:tr>
      <w:tr>
        <w:trPr>
          <w:trHeight w:hRule="exact" w:val="810"/>
        </w:trPr>
        <w:tc>
          <w:tcPr>
            <w:tcW w:type="dxa" w:w="1982"/>
            <w:tcBorders>
              <w:start w:sz="0.7999999999999545" w:val="single" w:color="#AAAAAA"/>
              <w:top w:sz="0.7999999999999545" w:val="single" w:color="#AAAAAA"/>
              <w:end w:sz="0.7999999999999545" w:val="single" w:color="#AAAAAA"/>
              <w:bottom w:sz="0.7999999999997272" w:val="single" w:color="#AAAAAA"/>
            </w:tcBorders>
            <w:shd w:fill="ffffff"/>
            <w:tcMar>
              <w:start w:w="0" w:type="dxa"/>
              <w:end w:w="0" w:type="dxa"/>
            </w:tcMar>
            <w:tcMar>
              <w:top w:w="80" w:type="dxa"/>
              <w:bottom w:w="80" w:type="dxa"/>
              <w:left w:w="120" w:type="dxa"/>
              <w:right w:w="120" w:type="dxa"/>
            </w:tcMar>
          </w:tcPr>
          <w:p>
            <w:pPr>
              <w:autoSpaceDN w:val="0"/>
              <w:autoSpaceDE w:val="0"/>
              <w:widowControl/>
              <w:spacing w:line="245" w:lineRule="auto" w:before="64" w:after="0"/>
              <w:ind w:left="120" w:right="432" w:firstLine="0"/>
              <w:jc w:val="left"/>
            </w:pPr>
            <w:r>
              <w:rPr>
                <w:rFonts w:ascii="Calibri" w:hAnsi="Calibri" w:eastAsia="Arial"/>
                <w:b w:val="0"/>
                <w:i w:val="0"/>
                <w:color w:val="333333"/>
                <w:sz w:val="20"/>
              </w:rPr>
              <w:t xml:space="preserve">Rapport </w:t>
            </w:r>
            <w:r>
              <w:rPr>
                <w:rFonts w:ascii="Calibri" w:hAnsi="Calibri"/>
                <w:color w:val="333333"/>
              </w:rPr>
              <w:br/>
            </w:r>
            <w:r>
              <w:rPr>
                <w:rFonts w:ascii="Calibri" w:hAnsi="Calibri" w:eastAsia="Arial"/>
                <w:b w:val="0"/>
                <w:i w:val="0"/>
                <w:color w:val="333333"/>
                <w:sz w:val="20"/>
              </w:rPr>
              <w:t xml:space="preserve">d’inspection </w:t>
            </w:r>
            <w:r>
              <w:rPr>
                <w:rFonts w:ascii="Calibri" w:hAnsi="Calibri"/>
                <w:color w:val="333333"/>
              </w:rPr>
              <w:br/>
            </w:r>
            <w:r>
              <w:rPr>
                <w:rFonts w:ascii="Calibri" w:hAnsi="Calibri" w:eastAsia="Arial"/>
                <w:b w:val="0"/>
                <w:i w:val="0"/>
                <w:color w:val="333333"/>
                <w:sz w:val="20"/>
              </w:rPr>
              <w:t>technique (RIT)</w:t>
            </w:r>
          </w:p>
        </w:tc>
        <w:tc>
          <w:tcPr>
            <w:tcW w:type="dxa" w:w="1398"/>
            <w:tcBorders>
              <w:start w:sz="0.7999999999999545" w:val="single" w:color="#AAAAAA"/>
              <w:top w:sz="0.7999999999999545" w:val="single" w:color="#AAAAAA"/>
              <w:end w:sz="1.599999999999909"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Concepteur, Devs</w:t>
            </w:r>
          </w:p>
        </w:tc>
        <w:tc>
          <w:tcPr>
            <w:tcW w:type="dxa" w:w="1488"/>
            <w:tcBorders>
              <w:start w:sz="1.599999999999909" w:val="single" w:color="#AAAAAA"/>
              <w:top w:sz="0.7999999999999545" w:val="single" w:color="#AAAAAA"/>
              <w:end w:sz="0.7999999999997272"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Chef de Projet</w:t>
            </w:r>
          </w:p>
        </w:tc>
        <w:tc>
          <w:tcPr>
            <w:tcW w:type="dxa" w:w="944"/>
            <w:tcBorders>
              <w:start w:sz="0.7999999999997272" w:val="single" w:color="#AAAAAA"/>
              <w:top w:sz="0.7999999999999545" w:val="single" w:color="#AAAAAA"/>
              <w:end w:sz="0.8000000000001819"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06/06/2026</w:t>
            </w:r>
          </w:p>
        </w:tc>
        <w:tc>
          <w:tcPr>
            <w:tcW w:type="dxa" w:w="936"/>
            <w:tcBorders>
              <w:start w:sz="0.8000000000001819" w:val="single" w:color="#AAAAAA"/>
              <w:top w:sz="0.7999999999999545" w:val="single" w:color="#AAAAAA"/>
              <w:end w:sz="0.7999999999997272"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07/06/2026</w:t>
            </w:r>
          </w:p>
        </w:tc>
        <w:tc>
          <w:tcPr>
            <w:tcW w:type="dxa" w:w="806"/>
            <w:tcBorders>
              <w:start w:sz="0.7999999999997272" w:val="single" w:color="#AAAAAA"/>
              <w:top w:sz="0.7999999999999545" w:val="single" w:color="#AAAAAA"/>
              <w:end w:sz="0.8000000000001819"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10 h</w:t>
            </w:r>
          </w:p>
        </w:tc>
        <w:tc>
          <w:tcPr>
            <w:tcW w:type="dxa" w:w="808"/>
            <w:tcBorders>
              <w:start w:sz="0.8000000000001819" w:val="single" w:color="#AAAAAA"/>
              <w:top w:sz="0.7999999999999545" w:val="single" w:color="#AAAAAA"/>
              <w:end w:sz="0.8000000000001819" w:val="single" w:color="#AAAAAA"/>
              <w:bottom w:sz="0.7999999999997272" w:val="single" w:color="#AAAAAA"/>
            </w:tcBorders>
            <w:shd w:fill="ffffff"/>
            <w:tcMar>
              <w:start w:w="0" w:type="dxa"/>
              <w:end w:w="0" w:type="dxa"/>
            </w:tcMar>
            <w:tcMar>
              <w:top w:w="80" w:type="dxa"/>
              <w:bottom w:w="80" w:type="dxa"/>
              <w:left w:w="120" w:type="dxa"/>
              <w:right w:w="120" w:type="dxa"/>
            </w:tcMar>
          </w:tcPr>
          <w:p>
            <w:r>
              <w:rPr>
                <w:rFonts w:ascii="Calibri" w:hAnsi="Calibri"/>
                <w:color w:val="333333"/>
              </w:rPr>
              <w:t>2 j</w:t>
            </w:r>
          </w:p>
        </w:tc>
      </w:tr>
      <w:tr>
        <w:trPr>
          <w:trHeight w:hRule="exact" w:val="356"/>
        </w:trPr>
        <w:tc>
          <w:tcPr>
            <w:tcW w:type="dxa" w:w="1982"/>
            <w:tcBorders>
              <w:start w:sz="0.7999999999999545" w:val="single" w:color="#AAAAAA"/>
              <w:top w:sz="0.7999999999997272" w:val="single" w:color="#AAAAAA"/>
              <w:end w:sz="0.7999999999999545"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pPr>
              <w:autoSpaceDN w:val="0"/>
              <w:autoSpaceDE w:val="0"/>
              <w:widowControl/>
              <w:spacing w:line="233" w:lineRule="auto" w:before="66" w:after="0"/>
              <w:ind w:left="0" w:right="0" w:firstLine="0"/>
              <w:jc w:val="center"/>
            </w:pPr>
            <w:r>
              <w:rPr>
                <w:rFonts w:ascii="Calibri" w:hAnsi="Calibri" w:eastAsia="Arial"/>
                <w:b w:val="0"/>
                <w:i w:val="0"/>
                <w:color w:val="333333"/>
                <w:sz w:val="20"/>
              </w:rPr>
              <w:t>Plan de projet (PP)</w:t>
            </w:r>
          </w:p>
        </w:tc>
        <w:tc>
          <w:tcPr>
            <w:tcW w:type="dxa" w:w="1398"/>
            <w:tcBorders>
              <w:start w:sz="0.7999999999999545" w:val="single" w:color="#AAAAAA"/>
              <w:top w:sz="0.7999999999997272" w:val="single" w:color="#AAAAAA"/>
              <w:end w:sz="1.599999999999909"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Chef de Projet</w:t>
            </w:r>
          </w:p>
        </w:tc>
        <w:tc>
          <w:tcPr>
            <w:tcW w:type="dxa" w:w="1488"/>
            <w:tcBorders>
              <w:start w:sz="1.599999999999909" w:val="single" w:color="#AAAAAA"/>
              <w:top w:sz="0.7999999999997272" w:val="single" w:color="#AAAAAA"/>
              <w:end w:sz="0.7999999999997272"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Chef de Projet</w:t>
            </w:r>
          </w:p>
        </w:tc>
        <w:tc>
          <w:tcPr>
            <w:tcW w:type="dxa" w:w="944"/>
            <w:tcBorders>
              <w:start w:sz="0.7999999999997272" w:val="single" w:color="#AAAAAA"/>
              <w:top w:sz="0.7999999999997272" w:val="single" w:color="#AAAAAA"/>
              <w:end w:sz="0.8000000000001819"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08/06/2026</w:t>
            </w:r>
          </w:p>
        </w:tc>
        <w:tc>
          <w:tcPr>
            <w:tcW w:type="dxa" w:w="936"/>
            <w:tcBorders>
              <w:start w:sz="0.8000000000001819" w:val="single" w:color="#AAAAAA"/>
              <w:top w:sz="0.7999999999997272" w:val="single" w:color="#AAAAAA"/>
              <w:end w:sz="0.7999999999997272"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10/06/2026</w:t>
            </w:r>
          </w:p>
        </w:tc>
        <w:tc>
          <w:tcPr>
            <w:tcW w:type="dxa" w:w="806"/>
            <w:tcBorders>
              <w:start w:sz="0.7999999999997272" w:val="single" w:color="#AAAAAA"/>
              <w:top w:sz="0.7999999999997272" w:val="single" w:color="#AAAAAA"/>
              <w:end w:sz="0.8000000000001819"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15 h</w:t>
            </w:r>
          </w:p>
        </w:tc>
        <w:tc>
          <w:tcPr>
            <w:tcW w:type="dxa" w:w="808"/>
            <w:tcBorders>
              <w:start w:sz="0.8000000000001819" w:val="single" w:color="#AAAAAA"/>
              <w:top w:sz="0.7999999999997272" w:val="single" w:color="#AAAAAA"/>
              <w:end w:sz="0.8000000000001819" w:val="single" w:color="#AAAAAA"/>
              <w:bottom w:sz="0.7999999999997272" w:val="single" w:color="#AAAAAA"/>
            </w:tcBorders>
            <w:shd w:fill="f1f2f1"/>
            <w:tcMar>
              <w:start w:w="0" w:type="dxa"/>
              <w:end w:w="0" w:type="dxa"/>
            </w:tcMar>
            <w:tcMar>
              <w:top w:w="80" w:type="dxa"/>
              <w:bottom w:w="80" w:type="dxa"/>
              <w:left w:w="120" w:type="dxa"/>
              <w:right w:w="120" w:type="dxa"/>
            </w:tcMar>
            <w:shd w:val="clear" w:color="auto" w:fill="F4F7F6"/>
          </w:tcPr>
          <w:p>
            <w:r>
              <w:rPr>
                <w:rFonts w:ascii="Calibri" w:hAnsi="Calibri"/>
                <w:color w:val="333333"/>
              </w:rPr>
              <w:t>3 j</w:t>
            </w:r>
          </w:p>
        </w:tc>
      </w:tr>
      <w:tr>
        <w:trPr>
          <w:trHeight w:hRule="exact" w:val="1622"/>
        </w:trPr>
        <w:tc>
          <w:tcPr>
            <w:tcW w:type="dxa" w:w="1982"/>
            <w:tcBorders>
              <w:start w:sz="0.7999999999999545" w:val="single" w:color="#AAAAAA"/>
              <w:top w:sz="0.7999999999997272" w:val="single" w:color="#AAAAAA"/>
              <w:end w:sz="0.7999999999999545" w:val="single" w:color="#AAAAAA"/>
              <w:bottom w:sz="1.6000000000003638" w:val="single" w:color="#AAAAAA"/>
            </w:tcBorders>
            <w:tcMar>
              <w:start w:w="0" w:type="dxa"/>
              <w:end w:w="0" w:type="dxa"/>
            </w:tcMar>
            <w:tcMar>
              <w:top w:w="80" w:type="dxa"/>
              <w:bottom w:w="80" w:type="dxa"/>
              <w:left w:w="120" w:type="dxa"/>
              <w:right w:w="120" w:type="dxa"/>
            </w:tcMar>
          </w:tcPr>
          <w:p>
            <w:r>
              <w:rPr>
                <w:rFonts w:ascii="Calibri" w:hAnsi="Calibri"/>
                <w:color w:val="333333"/>
              </w:rPr>
              <w:t>Plan de test d’acceptation (PTA)</w:t>
              <w:br/>
              <w:t>Document d’architecture et conception (DAC)</w:t>
            </w:r>
          </w:p>
        </w:tc>
        <w:tc>
          <w:tcPr>
            <w:tcW w:type="dxa" w:w="1398"/>
            <w:tcBorders>
              <w:start w:sz="0.7999999999999545" w:val="single" w:color="#AAAAAA"/>
              <w:top w:sz="0.7999999999997272" w:val="single" w:color="#AAAAAA"/>
              <w:end w:sz="1.599999999999909" w:val="single" w:color="#AAAAAA"/>
              <w:bottom w:sz="1.6000000000003638" w:val="single" w:color="#AAAAAA"/>
            </w:tcBorders>
            <w:tcMar>
              <w:start w:w="0" w:type="dxa"/>
              <w:end w:w="0" w:type="dxa"/>
            </w:tcMar>
            <w:tcMar>
              <w:top w:w="80" w:type="dxa"/>
              <w:bottom w:w="80" w:type="dxa"/>
              <w:left w:w="120" w:type="dxa"/>
              <w:right w:w="120" w:type="dxa"/>
            </w:tcMar>
          </w:tcPr>
          <w:p>
            <w:r>
              <w:rPr>
                <w:rFonts w:ascii="Calibri" w:hAnsi="Calibri"/>
                <w:color w:val="333333"/>
              </w:rPr>
              <w:t>Testeurs, Client</w:t>
              <w:br/>
              <w:t>Devs, DBA</w:t>
            </w:r>
          </w:p>
        </w:tc>
        <w:tc>
          <w:tcPr>
            <w:tcW w:type="dxa" w:w="1488"/>
            <w:tcBorders>
              <w:start w:sz="1.599999999999909" w:val="single" w:color="#AAAAAA"/>
              <w:top w:sz="0.7999999999997272" w:val="single" w:color="#AAAAAA"/>
              <w:end w:sz="0.7999999999997272" w:val="single" w:color="#AAAAAA"/>
              <w:bottom w:sz="1.6000000000003638" w:val="single" w:color="#AAAAAA"/>
            </w:tcBorders>
            <w:tcMar>
              <w:start w:w="0" w:type="dxa"/>
              <w:end w:w="0" w:type="dxa"/>
            </w:tcMar>
            <w:tcMar>
              <w:top w:w="80" w:type="dxa"/>
              <w:bottom w:w="80" w:type="dxa"/>
              <w:left w:w="120" w:type="dxa"/>
              <w:right w:w="120" w:type="dxa"/>
            </w:tcMar>
          </w:tcPr>
          <w:p>
            <w:r>
              <w:rPr>
                <w:rFonts w:ascii="Calibri" w:hAnsi="Calibri"/>
                <w:color w:val="333333"/>
              </w:rPr>
              <w:t>Spécialiste QA</w:t>
              <w:br/>
              <w:t>Administrateur BD</w:t>
            </w:r>
          </w:p>
        </w:tc>
        <w:tc>
          <w:tcPr>
            <w:tcW w:type="dxa" w:w="944"/>
            <w:tcBorders>
              <w:start w:sz="0.7999999999997272" w:val="single" w:color="#AAAAAA"/>
              <w:top w:sz="0.7999999999997272" w:val="single" w:color="#AAAAAA"/>
              <w:end w:sz="0.8000000000001819" w:val="single" w:color="#AAAAAA"/>
              <w:bottom w:sz="1.6000000000003638" w:val="single" w:color="#AAAAAA"/>
            </w:tcBorders>
            <w:tcMar>
              <w:start w:w="0" w:type="dxa"/>
              <w:end w:w="0" w:type="dxa"/>
            </w:tcMar>
            <w:tcMar>
              <w:top w:w="80" w:type="dxa"/>
              <w:bottom w:w="80" w:type="dxa"/>
              <w:left w:w="120" w:type="dxa"/>
              <w:right w:w="120" w:type="dxa"/>
            </w:tcMar>
          </w:tcPr>
          <w:p>
            <w:r>
              <w:rPr>
                <w:rFonts w:ascii="Calibri" w:hAnsi="Calibri"/>
                <w:color w:val="333333"/>
              </w:rPr>
              <w:t>11/06/2026</w:t>
              <w:br/>
              <w:t>15/06/2026</w:t>
            </w:r>
          </w:p>
        </w:tc>
        <w:tc>
          <w:tcPr>
            <w:tcW w:type="dxa" w:w="936"/>
            <w:tcBorders>
              <w:start w:sz="0.8000000000001819" w:val="single" w:color="#AAAAAA"/>
              <w:top w:sz="0.7999999999997272" w:val="single" w:color="#AAAAAA"/>
              <w:end w:sz="0.7999999999997272" w:val="single" w:color="#AAAAAA"/>
              <w:bottom w:sz="1.6000000000003638" w:val="single" w:color="#AAAAAA"/>
            </w:tcBorders>
            <w:tcMar>
              <w:start w:w="0" w:type="dxa"/>
              <w:end w:w="0" w:type="dxa"/>
            </w:tcMar>
            <w:tcMar>
              <w:top w:w="80" w:type="dxa"/>
              <w:bottom w:w="80" w:type="dxa"/>
              <w:left w:w="120" w:type="dxa"/>
              <w:right w:w="120" w:type="dxa"/>
            </w:tcMar>
          </w:tcPr>
          <w:p>
            <w:r>
              <w:rPr>
                <w:rFonts w:ascii="Calibri" w:hAnsi="Calibri"/>
                <w:color w:val="333333"/>
              </w:rPr>
              <w:t>14/06/2026</w:t>
              <w:br/>
              <w:t>20/06/2026</w:t>
            </w:r>
          </w:p>
        </w:tc>
        <w:tc>
          <w:tcPr>
            <w:tcW w:type="dxa" w:w="806"/>
            <w:tcBorders>
              <w:start w:sz="0.7999999999997272" w:val="single" w:color="#AAAAAA"/>
              <w:top w:sz="0.7999999999997272" w:val="single" w:color="#AAAAAA"/>
              <w:end w:sz="0.8000000000001819" w:val="single" w:color="#AAAAAA"/>
              <w:bottom w:sz="1.6000000000003638" w:val="single" w:color="#AAAAAA"/>
            </w:tcBorders>
            <w:tcMar>
              <w:start w:w="0" w:type="dxa"/>
              <w:end w:w="0" w:type="dxa"/>
            </w:tcMar>
            <w:tcMar>
              <w:top w:w="80" w:type="dxa"/>
              <w:bottom w:w="80" w:type="dxa"/>
              <w:left w:w="120" w:type="dxa"/>
              <w:right w:w="120" w:type="dxa"/>
            </w:tcMar>
          </w:tcPr>
          <w:p>
            <w:r>
              <w:rPr>
                <w:rFonts w:ascii="Calibri" w:hAnsi="Calibri"/>
                <w:color w:val="333333"/>
              </w:rPr>
              <w:t>20 h</w:t>
              <w:br/>
              <w:t>30 h</w:t>
            </w:r>
          </w:p>
        </w:tc>
        <w:tc>
          <w:tcPr>
            <w:tcW w:type="dxa" w:w="808"/>
            <w:tcBorders>
              <w:start w:sz="0.8000000000001819" w:val="single" w:color="#AAAAAA"/>
              <w:top w:sz="0.7999999999997272" w:val="single" w:color="#AAAAAA"/>
              <w:end w:sz="0.8000000000001819" w:val="single" w:color="#AAAAAA"/>
              <w:bottom w:sz="1.6000000000003638" w:val="single" w:color="#AAAAAA"/>
            </w:tcBorders>
            <w:tcMar>
              <w:start w:w="0" w:type="dxa"/>
              <w:end w:w="0" w:type="dxa"/>
            </w:tcMar>
            <w:tcMar>
              <w:top w:w="80" w:type="dxa"/>
              <w:bottom w:w="80" w:type="dxa"/>
              <w:left w:w="120" w:type="dxa"/>
              <w:right w:w="120" w:type="dxa"/>
            </w:tcMar>
          </w:tcPr>
          <w:p>
            <w:r>
              <w:rPr>
                <w:rFonts w:ascii="Calibri" w:hAnsi="Calibri"/>
                <w:color w:val="333333"/>
              </w:rPr>
              <w:t>4 j</w:t>
              <w:br/>
              <w:t>6 j</w:t>
            </w:r>
          </w:p>
        </w:tc>
      </w:tr>
      <w:tr>
        <w:trPr>
          <w:trHeight w:hRule="exact" w:val="934"/>
        </w:trPr>
        <w:tc>
          <w:tcPr>
            <w:tcW w:type="dxa" w:w="1982"/>
            <w:tcBorders>
              <w:start w:sz="0.7999999999999545" w:val="single" w:color="#AAAAAA"/>
              <w:top w:sz="1.6000000000003638" w:val="single" w:color="#AAAAAA"/>
              <w:end w:sz="0.7999999999999545" w:val="single" w:color="#AAAAAA"/>
              <w:bottom w:sz="1.599999999999909"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Plan de test d’intégration (PTI)</w:t>
              <w:br/>
              <w:t>Prototype</w:t>
            </w:r>
          </w:p>
        </w:tc>
        <w:tc>
          <w:tcPr>
            <w:tcW w:type="dxa" w:w="1398"/>
            <w:tcBorders>
              <w:start w:sz="0.7999999999999545" w:val="single" w:color="#AAAAAA"/>
              <w:top w:sz="1.6000000000003638" w:val="single" w:color="#AAAAAA"/>
              <w:end w:sz="1.599999999999909" w:val="single" w:color="#AAAAAA"/>
              <w:bottom w:sz="1.599999999999909"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Testeurs, Devs</w:t>
              <w:br/>
              <w:t>Codeurs</w:t>
            </w:r>
          </w:p>
        </w:tc>
        <w:tc>
          <w:tcPr>
            <w:tcW w:type="dxa" w:w="1488"/>
            <w:tcBorders>
              <w:start w:sz="1.599999999999909" w:val="single" w:color="#AAAAAA"/>
              <w:top w:sz="1.6000000000003638" w:val="single" w:color="#AAAAAA"/>
              <w:end w:sz="0.7999999999997272" w:val="single" w:color="#AAAAAA"/>
              <w:bottom w:sz="1.599999999999909"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Spécialiste QA</w:t>
              <w:br/>
              <w:t>Développeur Principal</w:t>
            </w:r>
          </w:p>
        </w:tc>
        <w:tc>
          <w:tcPr>
            <w:tcW w:type="dxa" w:w="944"/>
            <w:tcBorders>
              <w:start w:sz="0.7999999999997272" w:val="single" w:color="#AAAAAA"/>
              <w:top w:sz="1.6000000000003638" w:val="single" w:color="#AAAAAA"/>
              <w:end w:sz="0.8000000000001819" w:val="single" w:color="#AAAAAA"/>
              <w:bottom w:sz="1.599999999999909"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21/06/2026</w:t>
              <w:br/>
              <w:t>24/06/2026</w:t>
            </w:r>
          </w:p>
        </w:tc>
        <w:tc>
          <w:tcPr>
            <w:tcW w:type="dxa" w:w="936"/>
            <w:tcBorders>
              <w:start w:sz="0.8000000000001819" w:val="single" w:color="#AAAAAA"/>
              <w:top w:sz="1.6000000000003638" w:val="single" w:color="#AAAAAA"/>
              <w:end w:sz="0.7999999999997272" w:val="single" w:color="#AAAAAA"/>
              <w:bottom w:sz="1.599999999999909"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23/06/2026</w:t>
              <w:br/>
              <w:t>05/07/2026</w:t>
            </w:r>
          </w:p>
        </w:tc>
        <w:tc>
          <w:tcPr>
            <w:tcW w:type="dxa" w:w="806"/>
            <w:tcBorders>
              <w:start w:sz="0.7999999999997272" w:val="single" w:color="#AAAAAA"/>
              <w:top w:sz="1.6000000000003638" w:val="single" w:color="#AAAAAA"/>
              <w:end w:sz="0.8000000000001819" w:val="single" w:color="#AAAAAA"/>
              <w:bottom w:sz="1.599999999999909"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15 h</w:t>
              <w:br/>
              <w:t>60 h</w:t>
            </w:r>
          </w:p>
        </w:tc>
        <w:tc>
          <w:tcPr>
            <w:tcW w:type="dxa" w:w="808"/>
            <w:tcBorders>
              <w:start w:sz="0.8000000000001819" w:val="single" w:color="#AAAAAA"/>
              <w:top w:sz="1.6000000000003638" w:val="single" w:color="#AAAAAA"/>
              <w:end w:sz="0.8000000000001819" w:val="single" w:color="#AAAAAA"/>
              <w:bottom w:sz="1.599999999999909" w:val="single" w:color="#AAAAAA"/>
            </w:tcBorders>
            <w:tcMar>
              <w:start w:w="0" w:type="dxa"/>
              <w:end w:w="0" w:type="dxa"/>
            </w:tcMar>
            <w:tcMar>
              <w:top w:w="80" w:type="dxa"/>
              <w:bottom w:w="80" w:type="dxa"/>
              <w:left w:w="120" w:type="dxa"/>
              <w:right w:w="120" w:type="dxa"/>
            </w:tcMar>
            <w:shd w:val="clear" w:color="auto" w:fill="F4F7F6"/>
          </w:tcPr>
          <w:p>
            <w:r>
              <w:rPr>
                <w:rFonts w:ascii="Calibri" w:hAnsi="Calibri"/>
                <w:color w:val="333333"/>
              </w:rPr>
              <w:t>3 j</w:t>
              <w:br/>
              <w:t>12 j</w:t>
            </w:r>
          </w:p>
        </w:tc>
      </w:tr>
    </w:tbl>
    <w:p>
      <w:pPr>
        <w:spacing w:line="276" w:lineRule="auto" w:after="120"/>
        <w:jc w:val="center"/>
        <w:sectPr>
          <w:pgSz w:w="12240" w:h="15840"/>
          <w:pgMar w:top="1152" w:right="1440" w:bottom="1152" w:left="1440" w:header="720" w:footer="720" w:gutter="0"/>
          <w:cols/>
          <w:docGrid w:linePitch="360"/>
        </w:sectPr>
      </w:pPr>
      <w:r>
        <w:rPr>
          <w:rFonts w:ascii="Calibri" w:hAnsi="Calibri"/>
          <w:color w:val="333333"/>
          <w:sz w:val="22"/>
        </w:rPr>
        <w:br/>
        <w:t>Échéancier de livraison et chronogramme Gantt du projet :</w:t>
      </w:r>
    </w:p>
    <w:p>
      <w:pPr>
        <w:spacing w:line="276" w:lineRule="auto" w:after="120"/>
        <w:jc w:val="center"/>
      </w:pPr>
      <w:r>
        <w:rPr>
          <w:rFonts w:ascii="Calibri" w:hAnsi="Calibri"/>
          <w:color w:val="333333"/>
          <w:sz w:val="22"/>
        </w:rPr>
        <w:drawing>
          <wp:inline xmlns:a="http://schemas.openxmlformats.org/drawingml/2006/main" xmlns:pic="http://schemas.openxmlformats.org/drawingml/2006/picture">
            <wp:extent cx="5303520" cy="2355534"/>
            <wp:docPr id="2" name="Picture 2"/>
            <wp:cNvGraphicFramePr>
              <a:graphicFrameLocks noChangeAspect="1"/>
            </wp:cNvGraphicFramePr>
            <a:graphic>
              <a:graphicData uri="http://schemas.openxmlformats.org/drawingml/2006/picture">
                <pic:pic>
                  <pic:nvPicPr>
                    <pic:cNvPr id="0" name="gantt_chart.png"/>
                    <pic:cNvPicPr/>
                  </pic:nvPicPr>
                  <pic:blipFill>
                    <a:blip r:embed="rId10"/>
                    <a:stretch>
                      <a:fillRect/>
                    </a:stretch>
                  </pic:blipFill>
                  <pic:spPr>
                    <a:xfrm>
                      <a:off x="0" y="0"/>
                      <a:ext cx="5303520" cy="2355534"/>
                    </a:xfrm>
                    <a:prstGeom prst="rect"/>
                  </pic:spPr>
                </pic:pic>
              </a:graphicData>
            </a:graphic>
          </wp:inline>
        </w:drawing>
      </w: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 xml:space="preserve">Bibliographie </w:t>
      </w:r>
    </w:p>
    <w:p>
      <w:pPr>
        <w:spacing w:before="80" w:after="160"/>
      </w:pPr>
      <w:r>
        <w:rPr>
          <w:rFonts w:ascii="Calibri" w:hAnsi="Calibri"/>
          <w:b w:val="0"/>
          <w:i/>
          <w:color w:val="333333"/>
          <w:sz w:val="22"/>
        </w:rPr>
        <w:t>Les références suivantes ont été consultées pour la réalisation de la présente étude d'opportunité :</w:t>
      </w:r>
    </w:p>
    <w:p>
      <w:pPr>
        <w:spacing w:after="120" w:before="40"/>
        <w:ind w:left="360"/>
      </w:pPr>
      <w:r>
        <w:rPr>
          <w:rFonts w:ascii="Calibri" w:hAnsi="Calibri"/>
          <w:b/>
          <w:i w:val="0"/>
          <w:color w:val="1B365D"/>
          <w:sz w:val="22"/>
        </w:rPr>
        <w:t xml:space="preserve">[1]  </w:t>
      </w:r>
      <w:r>
        <w:rPr>
          <w:rFonts w:ascii="Calibri" w:hAnsi="Calibri"/>
          <w:b/>
          <w:i w:val="0"/>
          <w:color w:val="333333"/>
          <w:sz w:val="22"/>
        </w:rPr>
        <w:t xml:space="preserve">ORACLE CORPORATION (2024). </w:t>
      </w:r>
      <w:r>
        <w:rPr>
          <w:rFonts w:ascii="Calibri" w:hAnsi="Calibri"/>
          <w:b w:val="0"/>
          <w:i/>
          <w:color w:val="333333"/>
          <w:sz w:val="22"/>
        </w:rPr>
        <w:t xml:space="preserve">Documentation officielle Java SE 21 — Language Specification, JDK API Reference et JDBC Architecture Guidelines. </w:t>
      </w:r>
      <w:r>
        <w:rPr>
          <w:rFonts w:ascii="Calibri" w:hAnsi="Calibri"/>
          <w:b w:val="0"/>
          <w:i w:val="0"/>
          <w:color w:val="4A777A"/>
          <w:sz w:val="20"/>
        </w:rPr>
        <w:t>https://docs.oracle.com/en/java/javase/21/</w:t>
      </w:r>
    </w:p>
    <w:p>
      <w:pPr>
        <w:spacing w:after="120" w:before="40"/>
        <w:ind w:left="360"/>
      </w:pPr>
      <w:r>
        <w:rPr>
          <w:rFonts w:ascii="Calibri" w:hAnsi="Calibri"/>
          <w:b/>
          <w:i w:val="0"/>
          <w:color w:val="1B365D"/>
          <w:sz w:val="22"/>
        </w:rPr>
        <w:t xml:space="preserve">[2]  </w:t>
      </w:r>
      <w:r>
        <w:rPr>
          <w:rFonts w:ascii="Calibri" w:hAnsi="Calibri"/>
          <w:b/>
          <w:i w:val="0"/>
          <w:color w:val="333333"/>
          <w:sz w:val="22"/>
        </w:rPr>
        <w:t xml:space="preserve">THE POSTGRESQL GLOBAL DEVELOPMENT GROUP (2024). </w:t>
      </w:r>
      <w:r>
        <w:rPr>
          <w:rFonts w:ascii="Calibri" w:hAnsi="Calibri"/>
          <w:b w:val="0"/>
          <w:i/>
          <w:color w:val="333333"/>
          <w:sz w:val="22"/>
        </w:rPr>
        <w:t xml:space="preserve">PostgreSQL 16 — Documentation officielle : SQL Language, Transaction Control, Database Administration. </w:t>
      </w:r>
      <w:r>
        <w:rPr>
          <w:rFonts w:ascii="Calibri" w:hAnsi="Calibri"/>
          <w:b w:val="0"/>
          <w:i w:val="0"/>
          <w:color w:val="4A777A"/>
          <w:sz w:val="20"/>
        </w:rPr>
        <w:t>https://www.postgresql.org/docs/16/</w:t>
      </w:r>
    </w:p>
    <w:p>
      <w:pPr>
        <w:spacing w:after="120" w:before="40"/>
        <w:ind w:left="360"/>
      </w:pPr>
      <w:r>
        <w:rPr>
          <w:rFonts w:ascii="Calibri" w:hAnsi="Calibri"/>
          <w:b/>
          <w:i w:val="0"/>
          <w:color w:val="1B365D"/>
          <w:sz w:val="22"/>
        </w:rPr>
        <w:t xml:space="preserve">[3]  </w:t>
      </w:r>
      <w:r>
        <w:rPr>
          <w:rFonts w:ascii="Calibri" w:hAnsi="Calibri"/>
          <w:b/>
          <w:i w:val="0"/>
          <w:color w:val="333333"/>
          <w:sz w:val="22"/>
        </w:rPr>
        <w:t xml:space="preserve">JAVAFX PROJECT (2024). </w:t>
      </w:r>
      <w:r>
        <w:rPr>
          <w:rFonts w:ascii="Calibri" w:hAnsi="Calibri"/>
          <w:b w:val="0"/>
          <w:i/>
          <w:color w:val="333333"/>
          <w:sz w:val="22"/>
        </w:rPr>
        <w:t xml:space="preserve">OpenJFX Documentation — JavaFX UI Controls, Layouts and FXML Reference. </w:t>
      </w:r>
      <w:r>
        <w:rPr>
          <w:rFonts w:ascii="Calibri" w:hAnsi="Calibri"/>
          <w:b w:val="0"/>
          <w:i w:val="0"/>
          <w:color w:val="4A777A"/>
          <w:sz w:val="20"/>
        </w:rPr>
        <w:t>https://openjfx.io/openjfx-docs/</w:t>
      </w:r>
    </w:p>
    <w:p>
      <w:pPr>
        <w:spacing w:after="120" w:before="40"/>
        <w:ind w:left="360"/>
      </w:pPr>
      <w:r>
        <w:rPr>
          <w:rFonts w:ascii="Calibri" w:hAnsi="Calibri"/>
          <w:b/>
          <w:i w:val="0"/>
          <w:color w:val="1B365D"/>
          <w:sz w:val="22"/>
        </w:rPr>
        <w:t xml:space="preserve">[4]  </w:t>
      </w:r>
      <w:r>
        <w:rPr>
          <w:rFonts w:ascii="Calibri" w:hAnsi="Calibri"/>
          <w:b/>
          <w:i w:val="0"/>
          <w:color w:val="333333"/>
          <w:sz w:val="22"/>
        </w:rPr>
        <w:t xml:space="preserve">SOMMERVILLE, I. (2016). </w:t>
      </w:r>
      <w:r>
        <w:rPr>
          <w:rFonts w:ascii="Calibri" w:hAnsi="Calibri"/>
          <w:b w:val="0"/>
          <w:i/>
          <w:color w:val="333333"/>
          <w:sz w:val="22"/>
        </w:rPr>
        <w:t xml:space="preserve">Software Engineering (10e éd.). Pearson Education Limited. </w:t>
      </w:r>
      <w:r>
        <w:rPr>
          <w:rFonts w:ascii="Calibri" w:hAnsi="Calibri"/>
          <w:b w:val="0"/>
          <w:i w:val="0"/>
          <w:color w:val="4A777A"/>
          <w:sz w:val="20"/>
        </w:rPr>
        <w:t>ISBN 978-0133943030</w:t>
      </w:r>
    </w:p>
    <w:p>
      <w:pPr>
        <w:spacing w:after="120" w:before="40"/>
        <w:ind w:left="360"/>
      </w:pPr>
      <w:r>
        <w:rPr>
          <w:rFonts w:ascii="Calibri" w:hAnsi="Calibri"/>
          <w:b/>
          <w:i w:val="0"/>
          <w:color w:val="1B365D"/>
          <w:sz w:val="22"/>
        </w:rPr>
        <w:t xml:space="preserve">[5]  </w:t>
      </w:r>
      <w:r>
        <w:rPr>
          <w:rFonts w:ascii="Calibri" w:hAnsi="Calibri"/>
          <w:b/>
          <w:i w:val="0"/>
          <w:color w:val="333333"/>
          <w:sz w:val="22"/>
        </w:rPr>
        <w:t xml:space="preserve">PRESSMAN, R. S., &amp; MAXIM, B. R. (2020). </w:t>
      </w:r>
      <w:r>
        <w:rPr>
          <w:rFonts w:ascii="Calibri" w:hAnsi="Calibri"/>
          <w:b w:val="0"/>
          <w:i/>
          <w:color w:val="333333"/>
          <w:sz w:val="22"/>
        </w:rPr>
        <w:t xml:space="preserve">Software Engineering: A Practitioner's Approach (9e éd.). McGraw-Hill Education. </w:t>
      </w:r>
      <w:r>
        <w:rPr>
          <w:rFonts w:ascii="Calibri" w:hAnsi="Calibri"/>
          <w:b w:val="0"/>
          <w:i w:val="0"/>
          <w:color w:val="4A777A"/>
          <w:sz w:val="20"/>
        </w:rPr>
        <w:t>ISBN 978-1259872976</w:t>
      </w:r>
    </w:p>
    <w:p>
      <w:pPr>
        <w:spacing w:after="120" w:before="40"/>
        <w:ind w:left="360"/>
      </w:pPr>
      <w:r>
        <w:rPr>
          <w:rFonts w:ascii="Calibri" w:hAnsi="Calibri"/>
          <w:b/>
          <w:i w:val="0"/>
          <w:color w:val="1B365D"/>
          <w:sz w:val="22"/>
        </w:rPr>
        <w:t xml:space="preserve">[6]  </w:t>
      </w:r>
      <w:r>
        <w:rPr>
          <w:rFonts w:ascii="Calibri" w:hAnsi="Calibri"/>
          <w:b/>
          <w:i w:val="0"/>
          <w:color w:val="333333"/>
          <w:sz w:val="22"/>
        </w:rPr>
        <w:t xml:space="preserve">WIEGERS, K., &amp; BEATTY, J. (2013). </w:t>
      </w:r>
      <w:r>
        <w:rPr>
          <w:rFonts w:ascii="Calibri" w:hAnsi="Calibri"/>
          <w:b w:val="0"/>
          <w:i/>
          <w:color w:val="333333"/>
          <w:sz w:val="22"/>
        </w:rPr>
        <w:t xml:space="preserve">Software Requirements (3e éd.). Microsoft Press. </w:t>
      </w:r>
      <w:r>
        <w:rPr>
          <w:rFonts w:ascii="Calibri" w:hAnsi="Calibri"/>
          <w:b w:val="0"/>
          <w:i w:val="0"/>
          <w:color w:val="4A777A"/>
          <w:sz w:val="20"/>
        </w:rPr>
        <w:t>ISBN 978-0735679665</w:t>
      </w:r>
    </w:p>
    <w:p>
      <w:pPr>
        <w:autoSpaceDN w:val="0"/>
        <w:autoSpaceDE w:val="0"/>
        <w:widowControl/>
        <w:spacing w:line="276" w:lineRule="auto" w:before="532" w:after="120"/>
        <w:ind w:left="30" w:right="0" w:firstLine="0"/>
        <w:jc w:val="left"/>
      </w:pPr>
      <w:r>
        <w:rPr>
          <w:rFonts w:ascii="Calibri" w:hAnsi="Calibri" w:eastAsia="Arial,Bold"/>
          <w:b/>
          <w:i w:val="0"/>
          <w:color w:val="333333"/>
          <w:sz w:val="22"/>
        </w:rPr>
        <w:t>Annexe Technique</w:t>
      </w:r>
    </w:p>
    <w:p>
      <w:pPr>
        <w:spacing w:after="120"/>
      </w:pPr>
      <w:r>
        <w:rPr>
          <w:rFonts w:ascii="Calibri" w:hAnsi="Calibri"/>
          <w:b w:val="0"/>
          <w:i w:val="0"/>
          <w:color w:val="333333"/>
          <w:sz w:val="22"/>
        </w:rPr>
        <w:t>La présente annexe détaille les spécifications techniques minimales requises pour le déploiement opérationnel du système GESIFID sur site. Ces prérequis garantissent un fonctionnement optimal de l'application Java et du serveur de base de données PostgreSQL.</w:t>
      </w:r>
    </w:p>
    <w:p>
      <w:pPr>
        <w:spacing w:before="200" w:after="80"/>
      </w:pPr>
      <w:r>
        <w:rPr>
          <w:rFonts w:ascii="Calibri" w:hAnsi="Calibri"/>
          <w:b/>
          <w:i w:val="0"/>
          <w:color w:val="1B365D"/>
          <w:sz w:val="24"/>
        </w:rPr>
        <w:t>A.2  Paramétrage de l'imprimante de caisse thermique (58 mm)</w:t>
      </w:r>
    </w:p>
    <w:p>
      <w:pPr>
        <w:spacing w:after="80"/>
        <w:ind w:left="360"/>
      </w:pPr>
      <w:r>
        <w:rPr>
          <w:rFonts w:ascii="Calibri" w:hAnsi="Calibri"/>
          <w:b w:val="0"/>
          <w:i w:val="0"/>
          <w:color w:val="333333"/>
          <w:sz w:val="22"/>
        </w:rPr>
        <w:t>▸  Type de matériel : Imprimante de ticket thermique directe — rouleau de 58 mm.</w:t>
      </w:r>
    </w:p>
    <w:p>
      <w:pPr>
        <w:spacing w:after="80"/>
        <w:ind w:left="360"/>
      </w:pPr>
      <w:r>
        <w:rPr>
          <w:rFonts w:ascii="Calibri" w:hAnsi="Calibri"/>
          <w:b w:val="0"/>
          <w:i w:val="0"/>
          <w:color w:val="333333"/>
          <w:sz w:val="22"/>
        </w:rPr>
        <w:t>▸  Interface physique : Port USB 2.0 standard.</w:t>
      </w:r>
    </w:p>
    <w:p>
      <w:pPr>
        <w:spacing w:after="80"/>
        <w:ind w:left="360"/>
      </w:pPr>
      <w:r>
        <w:rPr>
          <w:rFonts w:ascii="Calibri" w:hAnsi="Calibri"/>
          <w:b w:val="0"/>
          <w:i w:val="0"/>
          <w:color w:val="333333"/>
          <w:sz w:val="22"/>
        </w:rPr>
        <w:t>▸  Vitesse d'impression : 90 mm/sec minimum.</w:t>
      </w:r>
    </w:p>
    <w:p>
      <w:pPr>
        <w:spacing w:after="80"/>
        <w:ind w:left="360"/>
      </w:pPr>
      <w:r>
        <w:rPr>
          <w:rFonts w:ascii="Calibri" w:hAnsi="Calibri"/>
          <w:b w:val="0"/>
          <w:i w:val="0"/>
          <w:color w:val="333333"/>
          <w:sz w:val="22"/>
        </w:rPr>
        <w:t>▸  Format d'édition : Fichier de sortie en texte brut (UTF-8) via le pilote générique "Generic / Text Only" de Windows, maximisant la vitesse d'impression.</w:t>
      </w:r>
    </w:p>
    <w:p>
      <w:pPr>
        <w:spacing w:before="200" w:after="80"/>
      </w:pPr>
      <w:r>
        <w:rPr>
          <w:rFonts w:ascii="Calibri" w:hAnsi="Calibri"/>
          <w:b/>
          <w:i w:val="0"/>
          <w:color w:val="1B365D"/>
          <w:sz w:val="24"/>
        </w:rPr>
        <w:t>A.1  Spécifications minimales de la station de caisse (hôte PostgreSQL &amp; Java)</w:t>
      </w:r>
    </w:p>
    <w:p>
      <w:pPr>
        <w:spacing w:after="80"/>
        <w:ind w:left="360"/>
      </w:pPr>
      <w:r>
        <w:rPr>
          <w:rFonts w:ascii="Calibri" w:hAnsi="Calibri"/>
          <w:b w:val="0"/>
          <w:i w:val="0"/>
          <w:color w:val="333333"/>
          <w:sz w:val="22"/>
        </w:rPr>
        <w:t>▸  Processeur : Intel Core i3 (10e génération ou équivalent), cadencé à 2,0 GHz minimum.</w:t>
      </w:r>
    </w:p>
    <w:p>
      <w:pPr>
        <w:spacing w:after="80"/>
        <w:ind w:left="360"/>
      </w:pPr>
      <w:r>
        <w:rPr>
          <w:rFonts w:ascii="Calibri" w:hAnsi="Calibri"/>
          <w:b w:val="0"/>
          <w:i w:val="0"/>
          <w:color w:val="333333"/>
          <w:sz w:val="22"/>
        </w:rPr>
        <w:t>▸  Mémoire RAM : 8 Go DDR4 — permet l'exécution simultanée fluide de la JVM Java et du serveur PostgreSQL.</w:t>
      </w:r>
    </w:p>
    <w:p>
      <w:pPr>
        <w:spacing w:after="80"/>
        <w:ind w:left="360"/>
      </w:pPr>
      <w:r>
        <w:rPr>
          <w:rFonts w:ascii="Calibri" w:hAnsi="Calibri"/>
          <w:b w:val="0"/>
          <w:i w:val="0"/>
          <w:color w:val="333333"/>
          <w:sz w:val="22"/>
        </w:rPr>
        <w:t>▸  Disque Dur : 256 Go SSD — garantit des temps de lecture/écriture instantanés sur la base de données.</w:t>
      </w:r>
    </w:p>
    <w:p>
      <w:pPr>
        <w:spacing w:after="80"/>
        <w:ind w:left="360"/>
      </w:pPr>
      <w:r>
        <w:rPr>
          <w:rFonts w:ascii="Calibri" w:hAnsi="Calibri"/>
          <w:b w:val="0"/>
          <w:i w:val="0"/>
          <w:color w:val="333333"/>
          <w:sz w:val="22"/>
        </w:rPr>
        <w:t>▸  Système d'exploitation : Windows 10 / 11 Professionnel (64 bits).</w:t>
      </w:r>
    </w:p>
    <w:p>
      <w:pPr>
        <w:spacing w:after="80"/>
        <w:ind w:left="360"/>
      </w:pPr>
      <w:r>
        <w:rPr>
          <w:rFonts w:ascii="Calibri" w:hAnsi="Calibri"/>
          <w:b w:val="0"/>
          <w:i w:val="0"/>
          <w:color w:val="333333"/>
          <w:sz w:val="22"/>
        </w:rPr>
        <w:t>▸  Alimentation de secours : Onduleur (UPS) 650 VA / 360 W — autonomie minimale de 15 minutes en cas de coupure d'électricité.</w:t>
      </w:r>
    </w:p>
    <w:p>
      <w:pPr>
        <w:spacing w:before="200" w:after="80"/>
      </w:pPr>
      <w:r>
        <w:rPr>
          <w:rFonts w:ascii="Calibri" w:hAnsi="Calibri"/>
          <w:b/>
          <w:i w:val="0"/>
          <w:color w:val="1B365D"/>
          <w:sz w:val="24"/>
        </w:rPr>
        <w:t>A.3  Composition de l'équipe projet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65D"/>
            <w:tcMar>
              <w:top w:w="100" w:type="dxa"/>
              <w:bottom w:w="100" w:type="dxa"/>
              <w:left w:w="100" w:type="dxa"/>
              <w:right w:w="100" w:type="dxa"/>
            </w:tcMar>
          </w:tcPr>
          <w:p>
            <w:pPr>
              <w:jc w:val="center"/>
            </w:pPr>
            <w:r/>
            <w:r>
              <w:rPr>
                <w:rFonts w:ascii="Calibri" w:hAnsi="Calibri"/>
                <w:b/>
                <w:i w:val="0"/>
                <w:color w:val="FFFFFF"/>
                <w:sz w:val="22"/>
              </w:rPr>
              <w:t>Nom complet</w:t>
            </w:r>
          </w:p>
        </w:tc>
        <w:tc>
          <w:tcPr>
            <w:tcW w:type="dxa" w:w="3120"/>
            <w:shd w:val="clear" w:color="auto" w:fill="1B365D"/>
            <w:tcMar>
              <w:top w:w="100" w:type="dxa"/>
              <w:bottom w:w="100" w:type="dxa"/>
              <w:left w:w="100" w:type="dxa"/>
              <w:right w:w="100" w:type="dxa"/>
            </w:tcMar>
          </w:tcPr>
          <w:p>
            <w:pPr>
              <w:jc w:val="center"/>
            </w:pPr>
            <w:r/>
            <w:r>
              <w:rPr>
                <w:rFonts w:ascii="Calibri" w:hAnsi="Calibri"/>
                <w:b/>
                <w:i w:val="0"/>
                <w:color w:val="FFFFFF"/>
                <w:sz w:val="22"/>
              </w:rPr>
              <w:t>Rôle dans le projet</w:t>
            </w:r>
          </w:p>
        </w:tc>
        <w:tc>
          <w:tcPr>
            <w:tcW w:type="dxa" w:w="3120"/>
            <w:shd w:val="clear" w:color="auto" w:fill="1B365D"/>
            <w:tcMar>
              <w:top w:w="100" w:type="dxa"/>
              <w:bottom w:w="100" w:type="dxa"/>
              <w:left w:w="100" w:type="dxa"/>
              <w:right w:w="100" w:type="dxa"/>
            </w:tcMar>
          </w:tcPr>
          <w:p>
            <w:pPr>
              <w:jc w:val="center"/>
            </w:pPr>
            <w:r/>
            <w:r>
              <w:rPr>
                <w:rFonts w:ascii="Calibri" w:hAnsi="Calibri"/>
                <w:b/>
                <w:i w:val="0"/>
                <w:color w:val="FFFFFF"/>
                <w:sz w:val="22"/>
              </w:rPr>
              <w:t>Institution</w:t>
            </w:r>
          </w:p>
        </w:tc>
      </w:tr>
      <w:tr>
        <w:tc>
          <w:tcPr>
            <w:tcW w:type="dxa" w:w="3120"/>
            <w:shd w:val="clear" w:color="auto" w:fill="F4F7F6"/>
            <w:tcMar>
              <w:top w:w="100" w:type="dxa"/>
              <w:bottom w:w="100" w:type="dxa"/>
              <w:left w:w="100" w:type="dxa"/>
              <w:right w:w="100" w:type="dxa"/>
            </w:tcMar>
          </w:tcPr>
          <w:p>
            <w:r/>
            <w:r>
              <w:rPr>
                <w:rFonts w:ascii="Calibri" w:hAnsi="Calibri"/>
                <w:b/>
                <w:i w:val="0"/>
                <w:color w:val="1B365D"/>
                <w:sz w:val="22"/>
              </w:rPr>
              <w:t>Billy Rolph EXUME</w:t>
            </w:r>
          </w:p>
        </w:tc>
        <w:tc>
          <w:tcPr>
            <w:tcW w:type="dxa" w:w="3120"/>
            <w:shd w:val="clear" w:color="auto" w:fill="F4F7F6"/>
            <w:tcMar>
              <w:top w:w="100" w:type="dxa"/>
              <w:bottom w:w="100" w:type="dxa"/>
              <w:left w:w="100" w:type="dxa"/>
              <w:right w:w="100" w:type="dxa"/>
            </w:tcMar>
          </w:tcPr>
          <w:p>
            <w:r/>
            <w:r>
              <w:rPr>
                <w:rFonts w:ascii="Calibri" w:hAnsi="Calibri"/>
                <w:b w:val="0"/>
                <w:i w:val="0"/>
                <w:color w:val="333333"/>
                <w:sz w:val="22"/>
              </w:rPr>
              <w:t>Analyste / Développeur principal</w:t>
            </w:r>
          </w:p>
        </w:tc>
        <w:tc>
          <w:tcPr>
            <w:tcW w:type="dxa" w:w="3120"/>
            <w:shd w:val="clear" w:color="auto" w:fill="F4F7F6"/>
            <w:tcMar>
              <w:top w:w="100" w:type="dxa"/>
              <w:bottom w:w="100" w:type="dxa"/>
              <w:left w:w="100" w:type="dxa"/>
              <w:right w:w="100" w:type="dxa"/>
            </w:tcMar>
          </w:tcPr>
          <w:p>
            <w:r/>
            <w:r>
              <w:rPr>
                <w:rFonts w:ascii="Calibri" w:hAnsi="Calibri"/>
                <w:b w:val="0"/>
                <w:i w:val="0"/>
                <w:color w:val="333333"/>
                <w:sz w:val="22"/>
              </w:rPr>
              <w:t>Université de Jacmel</w:t>
            </w:r>
          </w:p>
        </w:tc>
      </w:tr>
      <w:tr>
        <w:tc>
          <w:tcPr>
            <w:tcW w:type="dxa" w:w="3120"/>
            <w:shd w:val="clear" w:color="auto" w:fill="FFFFFF"/>
            <w:tcMar>
              <w:top w:w="100" w:type="dxa"/>
              <w:bottom w:w="100" w:type="dxa"/>
              <w:left w:w="100" w:type="dxa"/>
              <w:right w:w="100" w:type="dxa"/>
            </w:tcMar>
          </w:tcPr>
          <w:p>
            <w:r/>
            <w:r>
              <w:rPr>
                <w:rFonts w:ascii="Calibri" w:hAnsi="Calibri"/>
                <w:b/>
                <w:i w:val="0"/>
                <w:color w:val="1B365D"/>
                <w:sz w:val="22"/>
              </w:rPr>
              <w:t>Ruth-Jose Jerome</w:t>
            </w:r>
          </w:p>
        </w:tc>
        <w:tc>
          <w:tcPr>
            <w:tcW w:type="dxa" w:w="3120"/>
            <w:shd w:val="clear" w:color="auto" w:fill="FFFFFF"/>
            <w:tcMar>
              <w:top w:w="100" w:type="dxa"/>
              <w:bottom w:w="100" w:type="dxa"/>
              <w:left w:w="100" w:type="dxa"/>
              <w:right w:w="100" w:type="dxa"/>
            </w:tcMar>
          </w:tcPr>
          <w:p>
            <w:r/>
            <w:r>
              <w:rPr>
                <w:rFonts w:ascii="Calibri" w:hAnsi="Calibri"/>
                <w:b w:val="0"/>
                <w:i w:val="0"/>
                <w:color w:val="333333"/>
                <w:sz w:val="22"/>
              </w:rPr>
              <w:t>Conceptrice UI/UX / Rédactrice</w:t>
            </w:r>
          </w:p>
        </w:tc>
        <w:tc>
          <w:tcPr>
            <w:tcW w:type="dxa" w:w="3120"/>
            <w:shd w:val="clear" w:color="auto" w:fill="FFFFFF"/>
            <w:tcMar>
              <w:top w:w="100" w:type="dxa"/>
              <w:bottom w:w="100" w:type="dxa"/>
              <w:left w:w="100" w:type="dxa"/>
              <w:right w:w="100" w:type="dxa"/>
            </w:tcMar>
          </w:tcPr>
          <w:p>
            <w:r/>
            <w:r>
              <w:rPr>
                <w:rFonts w:ascii="Calibri" w:hAnsi="Calibri"/>
                <w:b w:val="0"/>
                <w:i w:val="0"/>
                <w:color w:val="333333"/>
                <w:sz w:val="22"/>
              </w:rPr>
              <w:t>Université de Jacmel</w:t>
            </w:r>
          </w:p>
        </w:tc>
      </w:tr>
    </w:tbl>
    <w:sectPr w:rsidR="00FC693F" w:rsidRPr="0006063C" w:rsidSect="00034616">
      <w:pgSz w:w="12240" w:h="15840"/>
      <w:pgMar w:top="1152" w:right="1440" w:bottom="1152"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