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MSME Portfolio Credit Risk &amp; Analytics Report</w:t>
      </w:r>
    </w:p>
    <w:p>
      <w:r>
        <w:t>Prepared for: Senior Management &amp; Credit Risk Committee</w:t>
        <w:br/>
        <w:t>Target: Pezesha Portfolio Review</w:t>
      </w:r>
    </w:p>
    <w:p>
      <w:pPr>
        <w:pStyle w:val="Heading2"/>
      </w:pPr>
      <w:r>
        <w:t>1. Executive Summary &amp; Core Portfolio KPIs</w:t>
      </w:r>
    </w:p>
    <w:p>
      <w:r>
        <w:t>This report provides an automated portfolio snapshot tracking performance indicators such as Portfolio-at-Risk (PAR30, PAR90), Days Past Due (DPD), and overall repayment trends.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Core 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Outstanding (KES)</w:t>
            </w:r>
          </w:p>
        </w:tc>
        <w:tc>
          <w:tcPr>
            <w:tcW w:type="dxa" w:w="4320"/>
          </w:tcPr>
          <w:p>
            <w:r>
              <w:t>KES 14,850,200</w:t>
            </w:r>
          </w:p>
        </w:tc>
      </w:tr>
      <w:tr>
        <w:tc>
          <w:tcPr>
            <w:tcW w:type="dxa" w:w="4320"/>
          </w:tcPr>
          <w:p>
            <w:r>
              <w:t>PAR30</w:t>
            </w:r>
          </w:p>
        </w:tc>
        <w:tc>
          <w:tcPr>
            <w:tcW w:type="dxa" w:w="4320"/>
          </w:tcPr>
          <w:p>
            <w:r>
              <w:t>4.2%</w:t>
            </w:r>
          </w:p>
        </w:tc>
      </w:tr>
      <w:tr>
        <w:tc>
          <w:tcPr>
            <w:tcW w:type="dxa" w:w="4320"/>
          </w:tcPr>
          <w:p>
            <w:r>
              <w:t>PAR90</w:t>
            </w:r>
          </w:p>
        </w:tc>
        <w:tc>
          <w:tcPr>
            <w:tcW w:type="dxa" w:w="4320"/>
          </w:tcPr>
          <w:p>
            <w:r>
              <w:t>1.8%</w:t>
            </w:r>
          </w:p>
        </w:tc>
      </w:tr>
      <w:tr>
        <w:tc>
          <w:tcPr>
            <w:tcW w:type="dxa" w:w="4320"/>
          </w:tcPr>
          <w:p>
            <w:r>
              <w:t>Repayment Rate</w:t>
            </w:r>
          </w:p>
        </w:tc>
        <w:tc>
          <w:tcPr>
            <w:tcW w:type="dxa" w:w="4320"/>
          </w:tcPr>
          <w:p>
            <w:r>
              <w:t>91.5%</w:t>
            </w:r>
          </w:p>
        </w:tc>
      </w:tr>
      <w:tr>
        <w:tc>
          <w:tcPr>
            <w:tcW w:type="dxa" w:w="4320"/>
          </w:tcPr>
          <w:p>
            <w:r>
              <w:t>Total Disbursed (KES)</w:t>
            </w:r>
          </w:p>
        </w:tc>
        <w:tc>
          <w:tcPr>
            <w:tcW w:type="dxa" w:w="4320"/>
          </w:tcPr>
          <w:p>
            <w:r>
              <w:t>KES 45,000,000</w:t>
            </w:r>
          </w:p>
        </w:tc>
      </w:tr>
      <w:tr>
        <w:tc>
          <w:tcPr>
            <w:tcW w:type="dxa" w:w="4320"/>
          </w:tcPr>
          <w:p>
            <w:r>
              <w:t>Active Borrowers</w:t>
            </w:r>
          </w:p>
        </w:tc>
        <w:tc>
          <w:tcPr>
            <w:tcW w:type="dxa" w:w="4320"/>
          </w:tcPr>
          <w:p>
            <w:r>
              <w:t>1,240</w:t>
            </w:r>
          </w:p>
        </w:tc>
      </w:tr>
      <w:tr>
        <w:tc>
          <w:tcPr>
            <w:tcW w:type="dxa" w:w="4320"/>
          </w:tcPr>
          <w:p>
            <w:r>
              <w:t>Total Loans</w:t>
            </w:r>
          </w:p>
        </w:tc>
        <w:tc>
          <w:tcPr>
            <w:tcW w:type="dxa" w:w="4320"/>
          </w:tcPr>
          <w:p>
            <w:r>
              <w:t>1,500</w:t>
            </w:r>
          </w:p>
        </w:tc>
      </w:tr>
    </w:tbl>
    <w:p>
      <w:pPr>
        <w:pStyle w:val="Heading2"/>
      </w:pPr>
      <w:r>
        <w:t>2. Credit Scorecard Prototype Baseline</w:t>
      </w:r>
    </w:p>
    <w:p>
      <w:r>
        <w:t>A baseline logistic regression model was trained in Python predicting 90+ DPD using pre-origination features. Current Model Performance: AUC-ROC = 0.610, Precision = 15.4%, Recall = 40.0% across a test set of 262 loans.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