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E293B"/>
          <w:sz w:val="26"/>
        </w:rPr>
        <w:t>PSG COLLEGE OF TECHNOLOGY, COIMBATORE - 641 004</w:t>
        <w:br/>
        <w:t>DEPARTMENT OF PRODUCTION ENGINEERING</w:t>
      </w:r>
    </w:p>
    <w:p>
      <w:pPr>
        <w:spacing w:after="360"/>
        <w:jc w:val="center"/>
      </w:pPr>
      <w:r>
        <w:rPr>
          <w:color w:val="64748B"/>
          <w:sz w:val="20"/>
        </w:rPr>
        <w:t>BACHELOR OF ENGINEERING IN PRODUCTION ENGINEERING</w:t>
        <w:br/>
        <w:t>FINAL YEAR CAPSTONE PROJECT REPORT — 2026–2027</w:t>
      </w:r>
    </w:p>
    <w:p>
      <w:pPr>
        <w:spacing w:before="200" w:after="280"/>
        <w:jc w:val="center"/>
      </w:pPr>
      <w:r>
        <w:rPr>
          <w:b/>
          <w:color w:val="0F172A"/>
          <w:sz w:val="30"/>
        </w:rPr>
        <w:t>ErgoSnap Analytics: Development of an Image-Based Ergonomic Posture Assessment and Automated Reporting System</w:t>
      </w:r>
    </w:p>
    <w:p>
      <w:pPr>
        <w:spacing w:after="320"/>
        <w:jc w:val="center"/>
      </w:pPr>
      <w:r>
        <w:rPr>
          <w:color w:val="475569"/>
          <w:sz w:val="19"/>
        </w:rPr>
        <w:t>Candidate: Ruthish S.  |  Register Number: [PSG/PRD/2026/028]</w:t>
        <w:br/>
        <w:t>Faculty Supervisor: Department of Production Engineering</w:t>
        <w:br/>
        <w:t>Repository: https://github.com/Ruthish-S/ergosnap  |  Deployment: https://ruthish-s.github.io/ergosnap/</w:t>
      </w:r>
    </w:p>
    <w:p>
      <w:pPr>
        <w:spacing w:before="160" w:after="60"/>
        <w:jc w:val="left"/>
      </w:pPr>
      <w:r>
        <w:rPr>
          <w:rFonts w:ascii="Times New Roman" w:hAnsi="Times New Roman"/>
          <w:b/>
          <w:color w:val="1E293B"/>
          <w:sz w:val="23"/>
        </w:rPr>
        <w:t>EXECUTIVE ABSTRACT</w:t>
      </w:r>
    </w:p>
    <w:p>
      <w:pPr>
        <w:spacing w:after="80"/>
        <w:jc w:val="both"/>
      </w:pPr>
      <w:r>
        <w:t xml:space="preserve">In industrial manufacturing, precision assembly, and material-handling operations, sustained awkward postures and repetitive upper-limb movements are the leading etiological contributors to Work-Related Musculoskeletal Disorders (WMSDs). Standardized observational ergonomic instruments—most notably the Rapid Upper Limb Assessment (RULA) developed by McAtamney and Corlett (1993)—provide validated ordinal rubrics for posture risk quantification. However, conventional manual administration is severely limited by subjective visual angle estimation, observational parallax, fragmented documentation, and high administrative friction. This project documents the development, software verification, and preliminary empirical validation of </w:t>
      </w:r>
      <w:r>
        <w:rPr>
          <w:b/>
        </w:rPr>
        <w:t>ErgoSnap Analytics</w:t>
      </w:r>
      <w:r>
        <w:t>, a high-performance, browser-native engineering platform engineered to streamline industrial posture assessment. Operating entirely on client-side infrastructure to guarantee workplace privacy, the system integrates: (1) monocular landmark extraction via Google MediaPipe Pose Tasks-Vision executing in WebAssembly/WebGL mode; (2) deterministic 2D vector trigonometry calculating planar joint angles relative to gravitational vertical and anatomical planes; (3) a strict, rule-governed implementation of RULA Tables A, B, and C with rigorous boundary guards that explicitly withhold scoring when data are incomplete; (4) an eight-tab engineering research dashboard integrating ISO 11226:2000 neutral zone compliance gauges, Chaffin glenohumeral gravitational torque indexing, NIOSH Cumulative Exposure Risk Index (CERI) modeling, McAtamney sensitivity simulations, and anatomical WMSD risk heatmaps; and (5) a client-side vector A4 technical report and CSV compiler. System functionality was verified via 38 automated unit tests with 100% pass rate and deployed under continuous integration to GitHub Pages. This report details the theoretical biomechanics, computer vision pipeline, mathematical formulations, software architecture, verification results, and explicit scientific limitations of single-camera planar ergonomic screening.</w:t>
      </w:r>
    </w:p>
    <w:p>
      <w:r>
        <w:br w:type="page"/>
      </w:r>
    </w:p>
    <w:p>
      <w:pPr>
        <w:spacing w:before="240" w:after="80"/>
        <w:jc w:val="left"/>
      </w:pPr>
      <w:r>
        <w:rPr>
          <w:rFonts w:ascii="Times New Roman" w:hAnsi="Times New Roman"/>
          <w:b/>
          <w:color w:val="0F172A"/>
          <w:sz w:val="26"/>
        </w:rPr>
        <w:t>1. Introduction and Problem Statement</w:t>
      </w:r>
    </w:p>
    <w:p>
      <w:pPr>
        <w:spacing w:before="160" w:after="60"/>
        <w:jc w:val="left"/>
      </w:pPr>
      <w:r>
        <w:rPr>
          <w:rFonts w:ascii="Times New Roman" w:hAnsi="Times New Roman"/>
          <w:b/>
          <w:color w:val="1E293B"/>
          <w:sz w:val="23"/>
        </w:rPr>
        <w:t>1.1 Introduction to Ergonomics in Production Engineering</w:t>
      </w:r>
    </w:p>
    <w:p>
      <w:pPr>
        <w:spacing w:after="80"/>
        <w:jc w:val="both"/>
      </w:pPr>
      <w:r>
        <w:t>Ergonomics (human factors engineering) is the scientific discipline dedicated to understanding interactions among humans, tools, workstations, and operational environments to optimize both human physical well-being and total socio-technical system performance. In modern Production Engineering, ergonomics directly bridges mechanical workplace design with human biomechanical envelopes. Production facilities—ranging from automotive assembly lines and electronic circuit fabrication benches to logistics packing cells—rely heavily on human manual dexterity. However, when workstation dimensions fail to align with operator anthropometry, workers adopt compensatory awkward configurations that generate excessive musculoskeletal joint moments.</w:t>
      </w:r>
    </w:p>
    <w:p>
      <w:pPr>
        <w:spacing w:before="160" w:after="60"/>
        <w:jc w:val="left"/>
      </w:pPr>
      <w:r>
        <w:rPr>
          <w:rFonts w:ascii="Times New Roman" w:hAnsi="Times New Roman"/>
          <w:b/>
          <w:color w:val="1E293B"/>
          <w:sz w:val="23"/>
        </w:rPr>
        <w:t>1.2 The Musculoskeletal Risk Profile in Repetitive Industrial Work</w:t>
      </w:r>
    </w:p>
    <w:p>
      <w:pPr>
        <w:spacing w:after="80"/>
        <w:jc w:val="both"/>
      </w:pPr>
      <w:r>
        <w:t>Musculoskeletal tissues (skeletal muscle bellies, tendons, ligaments, bursae, peripheral nerves, and intervertebral discs) operate within definite physiological strain limits. When mechanical demands exceed tissue restitution rates, chronic degradation ensues. Epidemiological data from occupational safety directorates (e.g., EU-OSHA, NIOSH) confirm that upper-limb and neck WMSDs represent over 45% of all reported occupational illnesses in manufacturing. Sustained shoulder elevation (&gt;45°) induces subacromial tendon impingement, while forward cervical inclination (&gt;20°) triples the gravitational moment arm of the head (mass ≈ 4.5–5.0 kg), placing severe static demands on cervical extensor musculature (trapezius, splenius capitis). These conditions manifest as production line micro-stoppages, scrap rate spikes caused by fatigue-induced tremor, elevated absenteeism, and severe medical compensation liability.</w:t>
      </w:r>
    </w:p>
    <w:p>
      <w:pPr>
        <w:spacing w:before="160" w:after="60"/>
        <w:jc w:val="left"/>
      </w:pPr>
      <w:r>
        <w:rPr>
          <w:rFonts w:ascii="Times New Roman" w:hAnsi="Times New Roman"/>
          <w:b/>
          <w:color w:val="1E293B"/>
          <w:sz w:val="23"/>
        </w:rPr>
        <w:t>1.3 Problem Statement</w:t>
      </w:r>
    </w:p>
    <w:p>
      <w:pPr>
        <w:spacing w:after="80"/>
        <w:jc w:val="both"/>
      </w:pPr>
      <w:r>
        <w:t xml:space="preserve">Traditional ergonomic auditing in manufacturing environments relies heavily on physical clipboards, printed paper worksheets, and manual handheld goniometers. While foundational, this paradigm possesses four major engineering bottlenecks: (1) </w:t>
      </w:r>
      <w:r>
        <w:rPr>
          <w:b/>
        </w:rPr>
        <w:t>Measurement Parallax &amp; Subjectivity:</w:t>
      </w:r>
      <w:r>
        <w:t xml:space="preserve"> Visual estimation of angular joint flexion from variable observational vantage points yields inter-assessor discrepancies exceeding ±15°; (2) </w:t>
      </w:r>
      <w:r>
        <w:rPr>
          <w:b/>
        </w:rPr>
        <w:t>Observer Intrusion (Hawthorne Effect):</w:t>
      </w:r>
      <w:r>
        <w:t xml:space="preserve"> Auditors standing immediately adjacent to workers induce psychological stress and unnatural posture alterations; (3) </w:t>
      </w:r>
      <w:r>
        <w:rPr>
          <w:b/>
        </w:rPr>
        <w:t>Administrative Disconnect:</w:t>
      </w:r>
      <w:r>
        <w:t xml:space="preserve"> Postural sketches, handwritten intermediate scores, and photographic records remain segregated in disjointed archives; and (4) </w:t>
      </w:r>
      <w:r>
        <w:rPr>
          <w:b/>
        </w:rPr>
        <w:t>Lack of Analytical Interventions:</w:t>
      </w:r>
      <w:r>
        <w:t xml:space="preserve"> Paper worksheets provide a static scalar score (e.g., RULA 6) without simulating which workstation dimensional adjustments would most effectively attenuate postural load. Consequently, there exists a distinct engineering need for a browser-native tool that couples non-intrusive photographic landmark detection with deterministic biomechanical scoring, sensitivity modeling, and automated technical documentation.</w:t>
      </w:r>
    </w:p>
    <w:p>
      <w:pPr>
        <w:spacing w:before="160" w:after="60"/>
        <w:jc w:val="left"/>
      </w:pPr>
      <w:r>
        <w:rPr>
          <w:rFonts w:ascii="Times New Roman" w:hAnsi="Times New Roman"/>
          <w:b/>
          <w:color w:val="1E293B"/>
          <w:sz w:val="23"/>
        </w:rPr>
        <w:t>1.4 Aim and Specific Objectives</w:t>
      </w:r>
    </w:p>
    <w:p>
      <w:pPr>
        <w:spacing w:after="80"/>
        <w:jc w:val="both"/>
      </w:pPr>
      <w:r>
        <w:t xml:space="preserve">The overall aim of this project is to develop, verify, and document </w:t>
      </w:r>
      <w:r>
        <w:rPr>
          <w:b/>
        </w:rPr>
        <w:t>ErgoSnap Analytics</w:t>
      </w:r>
      <w:r>
        <w:t xml:space="preserve">, a client-side computer-vision ergonomic assessment and reporting system. The specific engineering objectives are: </w:t>
        <w:br/>
        <w:t xml:space="preserve">1. Develop a responsive browser interface supporting secure image upload, binary EXIF orientation normalization, and view suitability validation. </w:t>
        <w:br/>
        <w:t xml:space="preserve">2. Implement in-browser 33-point body landmark detection via MediaPipe Pose Landmarker without transmitting imagery to cloud servers. </w:t>
        <w:br/>
        <w:t xml:space="preserve">3. Engineer vector-trigonometric algorithms to calculate planar anatomical joint angles with cosine clamping and missing-data flags. </w:t>
        <w:br/>
        <w:t xml:space="preserve">4. Implement an authoritative, rule-governed scoring engine executing McAtamney &amp; Corlett (1993) RULA Tables A, B, and C with explicit null-safety. </w:t>
        <w:br/>
        <w:t xml:space="preserve">5. Construct an interactive eight-section analytics dashboard visualizing ISO 11226 neutral zones, multiaxial radar profiles, shoulder torque, CERI exposure, and WMSD risk maps. </w:t>
        <w:br/>
        <w:t xml:space="preserve">6. Develop an automated client-side A4 vector PDF technical report generator and raw CSV dataset exporter. </w:t>
        <w:br/>
        <w:t>7. Verify software logic via automated unit test suites and establish an empirical validation framework against independent goniometric reference datasets.</w:t>
      </w:r>
    </w:p>
    <w:p>
      <w:r>
        <w:br w:type="page"/>
      </w:r>
    </w:p>
    <w:p>
      <w:pPr>
        <w:spacing w:before="240" w:after="80"/>
        <w:jc w:val="left"/>
      </w:pPr>
      <w:r>
        <w:rPr>
          <w:rFonts w:ascii="Times New Roman" w:hAnsi="Times New Roman"/>
          <w:b/>
          <w:color w:val="0F172A"/>
          <w:sz w:val="26"/>
        </w:rPr>
        <w:t>2. Physical Ergonomics and Risk Assessment Methodologies</w:t>
      </w:r>
    </w:p>
    <w:p>
      <w:pPr>
        <w:spacing w:before="160" w:after="60"/>
        <w:jc w:val="left"/>
      </w:pPr>
      <w:r>
        <w:rPr>
          <w:rFonts w:ascii="Times New Roman" w:hAnsi="Times New Roman"/>
          <w:b/>
          <w:color w:val="1E293B"/>
          <w:sz w:val="23"/>
        </w:rPr>
        <w:t>2.1 Principles of Physical Ergonomics and Workstation Design</w:t>
      </w:r>
    </w:p>
    <w:p>
      <w:pPr>
        <w:spacing w:after="80"/>
        <w:jc w:val="both"/>
      </w:pPr>
      <w:r>
        <w:t>Physical ergonomics evaluates human anatomical, anthropometric, physiological, and biomechanical parameters as they relate to manual work. The primary objective is to engineer physical workplace interfaces (workbench heights, reach zones, bin presentation angles, tooling grips) such that operator joint articulations remain within 'neutral postural envelopes'. In neutral postures, agonist and antagonist muscle groups operate around their optimal length-tension relationship, minimizing internal joint contact forces and passive connective tissue strain.</w:t>
      </w:r>
    </w:p>
    <w:p>
      <w:pPr>
        <w:spacing w:before="160" w:after="60"/>
        <w:jc w:val="left"/>
      </w:pPr>
      <w:r>
        <w:rPr>
          <w:rFonts w:ascii="Times New Roman" w:hAnsi="Times New Roman"/>
          <w:b/>
          <w:color w:val="1E293B"/>
          <w:sz w:val="23"/>
        </w:rPr>
        <w:t>2.2 Postural Stressors and External Load Interaction</w:t>
      </w:r>
    </w:p>
    <w:p>
      <w:pPr>
        <w:spacing w:after="80"/>
        <w:jc w:val="both"/>
      </w:pPr>
      <w:r>
        <w:t xml:space="preserve">Workplace biomechanical risk is driven by four interacting physical stressors: </w:t>
        <w:br/>
        <w:t xml:space="preserve">• </w:t>
      </w:r>
      <w:r>
        <w:rPr>
          <w:b/>
        </w:rPr>
        <w:t>Awkward Posture:</w:t>
      </w:r>
      <w:r>
        <w:t xml:space="preserve"> Articular deviations from neutral resting baselines (e.g., extreme shoulder flexion, trunk twisting, ulnar deviation). </w:t>
        <w:br/>
        <w:t xml:space="preserve">• </w:t>
      </w:r>
      <w:r>
        <w:rPr>
          <w:b/>
        </w:rPr>
        <w:t>Static Loading:</w:t>
      </w:r>
      <w:r>
        <w:t xml:space="preserve"> Isometric contractions sustained for &gt;60 seconds. Intramuscular pressure exceeds microvascular capillary perfusion pressure (~30 mmHg), causing local tissue ischemia, metabolic acid buildup, and acute fatigue. </w:t>
        <w:br/>
        <w:t xml:space="preserve">• </w:t>
      </w:r>
      <w:r>
        <w:rPr>
          <w:b/>
        </w:rPr>
        <w:t>Repetitive Exertion:</w:t>
      </w:r>
      <w:r>
        <w:t xml:space="preserve"> High-frequency cyclic motions (&lt;30 s cycle time) that deprive collagen fibers of viscoelastic restitution. </w:t>
        <w:br/>
        <w:t xml:space="preserve">• </w:t>
      </w:r>
      <w:r>
        <w:rPr>
          <w:b/>
        </w:rPr>
        <w:t>External Force Demands:</w:t>
      </w:r>
      <w:r>
        <w:t xml:space="preserve"> Mass payloads and tooling reaction forces that amplify compressive stress across articular structures.</w:t>
      </w:r>
    </w:p>
    <w:p>
      <w:pPr>
        <w:spacing w:before="160" w:after="60"/>
        <w:jc w:val="left"/>
      </w:pPr>
      <w:r>
        <w:rPr>
          <w:rFonts w:ascii="Times New Roman" w:hAnsi="Times New Roman"/>
          <w:b/>
          <w:color w:val="1E293B"/>
          <w:sz w:val="23"/>
        </w:rPr>
        <w:t>2.3 Observational Ergonomic Assessment Instruments</w:t>
      </w:r>
    </w:p>
    <w:p>
      <w:pPr>
        <w:spacing w:after="80"/>
        <w:jc w:val="both"/>
      </w:pPr>
      <w:r>
        <w:t>Industrial ergonomics relies on validated semi-quantitative observational instruments to categorize physical exposure into actionable priority tiers. Table 2.1 presents a comparative evaluation of primary occupational instruments.</w:t>
      </w:r>
    </w:p>
    <w:tbl>
      <w:tblPr>
        <w:tblW w:type="auto" w:w="0"/>
        <w:tblLayout w:type="fixed"/>
        <w:tblLook w:firstColumn="1" w:firstRow="1" w:lastColumn="0" w:lastRow="0" w:noHBand="0" w:noVBand="1" w:val="04A0"/>
      </w:tblPr>
      <w:tblGrid>
        <w:gridCol w:w="2340"/>
        <w:gridCol w:w="2340"/>
        <w:gridCol w:w="2340"/>
        <w:gridCol w:w="2340"/>
      </w:tblGrid>
      <w:tr>
        <w:tc>
          <w:tcPr>
            <w:tcW w:type="dxa" w:w="1728"/>
            <w:shd w:fill="1E3A8A"/>
          </w:tcPr>
          <w:p>
            <w:pPr>
              <w:jc w:val="center"/>
            </w:pPr>
            <w:r>
              <w:rPr>
                <w:b/>
                <w:color w:val="FFFFFF"/>
                <w:sz w:val="16"/>
              </w:rPr>
              <w:t>Instrument</w:t>
            </w:r>
          </w:p>
        </w:tc>
        <w:tc>
          <w:tcPr>
            <w:tcW w:type="dxa" w:w="2160"/>
            <w:shd w:fill="1E3A8A"/>
          </w:tcPr>
          <w:p>
            <w:pPr>
              <w:jc w:val="center"/>
            </w:pPr>
            <w:r>
              <w:rPr>
                <w:b/>
                <w:color w:val="FFFFFF"/>
                <w:sz w:val="16"/>
              </w:rPr>
              <w:t>Anatomical Focus</w:t>
            </w:r>
          </w:p>
        </w:tc>
        <w:tc>
          <w:tcPr>
            <w:tcW w:type="dxa" w:w="2592"/>
            <w:shd w:fill="1E3A8A"/>
          </w:tcPr>
          <w:p>
            <w:pPr>
              <w:jc w:val="center"/>
            </w:pPr>
            <w:r>
              <w:rPr>
                <w:b/>
                <w:color w:val="FFFFFF"/>
                <w:sz w:val="16"/>
              </w:rPr>
              <w:t>Input Parameters Evaluated</w:t>
            </w:r>
          </w:p>
        </w:tc>
        <w:tc>
          <w:tcPr>
            <w:tcW w:type="dxa" w:w="2592"/>
            <w:shd w:fill="1E3A8A"/>
          </w:tcPr>
          <w:p>
            <w:pPr>
              <w:jc w:val="center"/>
            </w:pPr>
            <w:r>
              <w:rPr>
                <w:b/>
                <w:color w:val="FFFFFF"/>
                <w:sz w:val="16"/>
              </w:rPr>
              <w:t>Primary Industrial Target</w:t>
            </w:r>
          </w:p>
        </w:tc>
      </w:tr>
      <w:tr>
        <w:tc>
          <w:tcPr>
            <w:tcW w:type="dxa" w:w="1728"/>
          </w:tcPr>
          <w:p>
            <w:r>
              <w:rPr>
                <w:sz w:val="16"/>
              </w:rPr>
              <w:t>RULA (McAtamney &amp; Corlett 1993)</w:t>
            </w:r>
          </w:p>
        </w:tc>
        <w:tc>
          <w:tcPr>
            <w:tcW w:type="dxa" w:w="2160"/>
          </w:tcPr>
          <w:p>
            <w:r>
              <w:rPr>
                <w:sz w:val="16"/>
              </w:rPr>
              <w:t>Upper limbs, neck, trunk, legs</w:t>
            </w:r>
          </w:p>
        </w:tc>
        <w:tc>
          <w:tcPr>
            <w:tcW w:type="dxa" w:w="2592"/>
          </w:tcPr>
          <w:p>
            <w:r>
              <w:rPr>
                <w:sz w:val="16"/>
              </w:rPr>
              <w:t>Joint angles, static muscle use, force/load mass tiers</w:t>
            </w:r>
          </w:p>
        </w:tc>
        <w:tc>
          <w:tcPr>
            <w:tcW w:type="dxa" w:w="2592"/>
          </w:tcPr>
          <w:p>
            <w:r>
              <w:rPr>
                <w:sz w:val="16"/>
              </w:rPr>
              <w:t>Seated/standing electronics assembly, packaging, machine tending</w:t>
            </w:r>
          </w:p>
        </w:tc>
      </w:tr>
      <w:tr>
        <w:tc>
          <w:tcPr>
            <w:tcW w:type="dxa" w:w="1728"/>
          </w:tcPr>
          <w:p>
            <w:r>
              <w:rPr>
                <w:sz w:val="16"/>
              </w:rPr>
              <w:t>REBA (Hignett &amp; McAtamney 2000)</w:t>
            </w:r>
          </w:p>
        </w:tc>
        <w:tc>
          <w:tcPr>
            <w:tcW w:type="dxa" w:w="2160"/>
          </w:tcPr>
          <w:p>
            <w:r>
              <w:rPr>
                <w:sz w:val="16"/>
              </w:rPr>
              <w:t>Whole body, lower extremities, coupling</w:t>
            </w:r>
          </w:p>
        </w:tc>
        <w:tc>
          <w:tcPr>
            <w:tcW w:type="dxa" w:w="2592"/>
          </w:tcPr>
          <w:p>
            <w:r>
              <w:rPr>
                <w:sz w:val="16"/>
              </w:rPr>
              <w:t>Full body angles, dynamic load shocks, hand coupling quality</w:t>
            </w:r>
          </w:p>
        </w:tc>
        <w:tc>
          <w:tcPr>
            <w:tcW w:type="dxa" w:w="2592"/>
          </w:tcPr>
          <w:p>
            <w:r>
              <w:rPr>
                <w:sz w:val="16"/>
              </w:rPr>
              <w:t>Warehousing, healthcare patient transfer, heavy metal fabrication</w:t>
            </w:r>
          </w:p>
        </w:tc>
      </w:tr>
      <w:tr>
        <w:tc>
          <w:tcPr>
            <w:tcW w:type="dxa" w:w="1728"/>
          </w:tcPr>
          <w:p>
            <w:r>
              <w:rPr>
                <w:sz w:val="16"/>
              </w:rPr>
              <w:t>OWAS (Karhu et al. 1977)</w:t>
            </w:r>
          </w:p>
        </w:tc>
        <w:tc>
          <w:tcPr>
            <w:tcW w:type="dxa" w:w="2160"/>
          </w:tcPr>
          <w:p>
            <w:r>
              <w:rPr>
                <w:sz w:val="16"/>
              </w:rPr>
              <w:t>Gross posture categories (back, arms, legs)</w:t>
            </w:r>
          </w:p>
        </w:tc>
        <w:tc>
          <w:tcPr>
            <w:tcW w:type="dxa" w:w="2592"/>
          </w:tcPr>
          <w:p>
            <w:r>
              <w:rPr>
                <w:sz w:val="16"/>
              </w:rPr>
              <w:t>4 back, 3 arm, 7 leg postures; 3 payload weight classes</w:t>
            </w:r>
          </w:p>
        </w:tc>
        <w:tc>
          <w:tcPr>
            <w:tcW w:type="dxa" w:w="2592"/>
          </w:tcPr>
          <w:p>
            <w:r>
              <w:rPr>
                <w:sz w:val="16"/>
              </w:rPr>
              <w:t>Foundries, mining operations, heavy civil construction</w:t>
            </w:r>
          </w:p>
        </w:tc>
      </w:tr>
      <w:tr>
        <w:tc>
          <w:tcPr>
            <w:tcW w:type="dxa" w:w="1728"/>
          </w:tcPr>
          <w:p>
            <w:r>
              <w:rPr>
                <w:sz w:val="16"/>
              </w:rPr>
              <w:t>NIOSH Lift Equation (Waters et al. 1993)</w:t>
            </w:r>
          </w:p>
        </w:tc>
        <w:tc>
          <w:tcPr>
            <w:tcW w:type="dxa" w:w="2160"/>
          </w:tcPr>
          <w:p>
            <w:r>
              <w:rPr>
                <w:sz w:val="16"/>
              </w:rPr>
              <w:t>Lumbosacral junction (L5/S1 compression)</w:t>
            </w:r>
          </w:p>
        </w:tc>
        <w:tc>
          <w:tcPr>
            <w:tcW w:type="dxa" w:w="2592"/>
          </w:tcPr>
          <w:p>
            <w:r>
              <w:rPr>
                <w:sz w:val="16"/>
              </w:rPr>
              <w:t>Horizontal reach, vertical origin, lift displacement, frequency, coupling</w:t>
            </w:r>
          </w:p>
        </w:tc>
        <w:tc>
          <w:tcPr>
            <w:tcW w:type="dxa" w:w="2592"/>
          </w:tcPr>
          <w:p>
            <w:r>
              <w:rPr>
                <w:sz w:val="16"/>
              </w:rPr>
              <w:t>Manual palletizing, bin depalletizing, warehouse crate transfer</w:t>
            </w:r>
          </w:p>
        </w:tc>
      </w:tr>
    </w:tbl>
    <w:p>
      <w:pPr>
        <w:jc w:val="center"/>
      </w:pPr>
      <w:r>
        <w:rPr>
          <w:i/>
          <w:sz w:val="17"/>
        </w:rPr>
        <w:t>Table 2.1: Comparative classification of standardized observational ergonomic assessment instruments.</w:t>
      </w:r>
    </w:p>
    <w:p>
      <w:pPr>
        <w:spacing w:before="160" w:after="60"/>
        <w:jc w:val="left"/>
      </w:pPr>
      <w:r>
        <w:rPr>
          <w:rFonts w:ascii="Times New Roman" w:hAnsi="Times New Roman"/>
          <w:b/>
          <w:color w:val="1E293B"/>
          <w:sz w:val="23"/>
        </w:rPr>
        <w:t>2.4 Advantages and Physical Boundaries of Photographic Assessment</w:t>
      </w:r>
    </w:p>
    <w:p>
      <w:pPr>
        <w:spacing w:after="80"/>
        <w:jc w:val="both"/>
      </w:pPr>
      <w:r>
        <w:t xml:space="preserve">Workplace photographic assessment provides critical operational benefits: non-invasive capture, permanent traceable documentation, and asynchronous peer review. However, fundamental physical boundaries must be recognized: </w:t>
        <w:br/>
        <w:t xml:space="preserve">1. </w:t>
      </w:r>
      <w:r>
        <w:rPr>
          <w:b/>
        </w:rPr>
        <w:t>Planar Projection &amp; Foreshortening:</w:t>
      </w:r>
      <w:r>
        <w:t xml:space="preserve"> A single 2D image measures angles projected onto the camera image plane. Out-of-plane joint excursions are subject to trigonometric foreshortening. </w:t>
        <w:br/>
        <w:t xml:space="preserve">2. </w:t>
      </w:r>
      <w:r>
        <w:rPr>
          <w:b/>
        </w:rPr>
        <w:t>Occlusion:</w:t>
      </w:r>
      <w:r>
        <w:t xml:space="preserve"> Structural machine guards, conveyor side-plates, and worker clothing can obstruct joint vertices. </w:t>
        <w:br/>
        <w:t xml:space="preserve">3. </w:t>
      </w:r>
      <w:r>
        <w:rPr>
          <w:b/>
        </w:rPr>
        <w:t>Absence of Kinetic Data:</w:t>
      </w:r>
      <w:r>
        <w:t xml:space="preserve"> Still imagery cannot quantify external payload weight, tool vibration, or isometric hold duration. Therefore, monocular systems must operate as screening tools paired with manual task inputs, rather than black-box autonomous diagnostics.</w:t>
      </w:r>
    </w:p>
    <w:p>
      <w:r>
        <w:br w:type="page"/>
      </w:r>
    </w:p>
    <w:p>
      <w:pPr>
        <w:spacing w:before="240" w:after="80"/>
        <w:jc w:val="left"/>
      </w:pPr>
      <w:r>
        <w:rPr>
          <w:rFonts w:ascii="Times New Roman" w:hAnsi="Times New Roman"/>
          <w:b/>
          <w:color w:val="0F172A"/>
          <w:sz w:val="26"/>
        </w:rPr>
        <w:t>3. Rapid Upper Limb Assessment (RULA) Methodology</w:t>
      </w:r>
    </w:p>
    <w:p>
      <w:pPr>
        <w:spacing w:before="160" w:after="60"/>
        <w:jc w:val="left"/>
      </w:pPr>
      <w:r>
        <w:rPr>
          <w:rFonts w:ascii="Times New Roman" w:hAnsi="Times New Roman"/>
          <w:b/>
          <w:color w:val="1E293B"/>
          <w:sz w:val="23"/>
        </w:rPr>
        <w:t>3.1 Theoretical Foundations of RULA</w:t>
      </w:r>
    </w:p>
    <w:p>
      <w:pPr>
        <w:spacing w:after="80"/>
        <w:jc w:val="both"/>
      </w:pPr>
      <w:r>
        <w:t>Developed by McAtamney and Corlett (1993) at the University of Nottingham, the Rapid Upper Limb Assessment (RULA) is an observational screening tool engineered to evaluate biomechanical load on the upper extremities, cervical spine, and trunk. RULA assesses posture by partitioning the musculoskeletal system into two analytical groups: Group A (upper arm, lower arm, wrist, and wrist twist) and Group B (neck, trunk, and legs). Continuous anatomical angles are discretized into ordinal posture scores based on epidemiological strain thresholds.</w:t>
      </w:r>
    </w:p>
    <w:p>
      <w:pPr>
        <w:spacing w:before="160" w:after="60"/>
        <w:jc w:val="left"/>
      </w:pPr>
      <w:r>
        <w:rPr>
          <w:rFonts w:ascii="Times New Roman" w:hAnsi="Times New Roman"/>
          <w:b/>
          <w:color w:val="1E293B"/>
          <w:sz w:val="23"/>
        </w:rPr>
        <w:t>3.2 Anatomical Posture Discretization Rules</w:t>
      </w:r>
    </w:p>
    <w:p>
      <w:pPr>
        <w:spacing w:after="80"/>
        <w:jc w:val="both"/>
      </w:pPr>
      <w:r>
        <w:t xml:space="preserve">• </w:t>
      </w:r>
      <w:r>
        <w:rPr>
          <w:b/>
        </w:rPr>
        <w:t>Upper Arm:</w:t>
      </w:r>
      <w:r>
        <w:t xml:space="preserve"> Flexion/extension between -20° and +20° scores 1; &gt;20° extension scores 2; 20°–45° flexion scores 2; 45°–90° flexion scores 3; &gt;90° flexion scores 4. Adjustments: +1 if shoulder is elevated or abducted, -1 if arm is supported. </w:t>
        <w:br/>
        <w:t xml:space="preserve">• </w:t>
      </w:r>
      <w:r>
        <w:rPr>
          <w:b/>
        </w:rPr>
        <w:t>Lower Arm:</w:t>
      </w:r>
      <w:r>
        <w:t xml:space="preserve"> Flexion between 60° and 100° scores 1; &lt;60° or &gt;100° scores 2. Adjustment: +1 if working across body midline or out to side. </w:t>
        <w:br/>
        <w:t xml:space="preserve">• </w:t>
      </w:r>
      <w:r>
        <w:rPr>
          <w:b/>
        </w:rPr>
        <w:t>Wrist &amp; Twist:</w:t>
      </w:r>
      <w:r>
        <w:t xml:space="preserve"> Neutral (0°–15°) scores 1; 15° flexion/extension scores 2; &gt;15° scores 3. Radial/ulnar deviation adds +1. Pronation/supination twist scores 1 for mid-range, 2 for near-end. </w:t>
        <w:br/>
        <w:t xml:space="preserve">• </w:t>
      </w:r>
      <w:r>
        <w:rPr>
          <w:b/>
        </w:rPr>
        <w:t>Neck:</w:t>
      </w:r>
      <w:r>
        <w:t xml:space="preserve"> Flexion between 0° and 10° scores 1; 10°–20° scores 2; &gt;20° scores 3; any extension scores 4. Twisting or side-bending adds +1 each. </w:t>
        <w:br/>
        <w:t xml:space="preserve">• </w:t>
      </w:r>
      <w:r>
        <w:rPr>
          <w:b/>
        </w:rPr>
        <w:t>Trunk:</w:t>
      </w:r>
      <w:r>
        <w:t xml:space="preserve"> Neutral upright (0°–10°) scores 1; 10°–20° scores 2; 20°–60° scores 3; &gt;60° scores 4. Twisting or side-bending adds +1 each. </w:t>
        <w:br/>
        <w:t xml:space="preserve">• </w:t>
      </w:r>
      <w:r>
        <w:rPr>
          <w:b/>
        </w:rPr>
        <w:t>Legs:</w:t>
      </w:r>
      <w:r>
        <w:t xml:space="preserve"> Well supported with symmetrical weight bearing scores 1; uneven or unsupported scores 2.</w:t>
      </w:r>
    </w:p>
    <w:p>
      <w:pPr>
        <w:spacing w:before="160" w:after="60"/>
        <w:jc w:val="left"/>
      </w:pPr>
      <w:r>
        <w:rPr>
          <w:rFonts w:ascii="Times New Roman" w:hAnsi="Times New Roman"/>
          <w:b/>
          <w:color w:val="1E293B"/>
          <w:sz w:val="23"/>
        </w:rPr>
        <w:t>3.3 RULA Multi-Table Scoring Procedure and Workflow</w:t>
      </w:r>
    </w:p>
    <w:p>
      <w:pPr>
        <w:spacing w:after="80"/>
        <w:jc w:val="both"/>
      </w:pPr>
      <w:r>
        <w:t xml:space="preserve">The scoring sequence maps intermediate inputs through three deterministic matrix lookups: </w:t>
        <w:br/>
        <w:t xml:space="preserve">1. </w:t>
      </w:r>
      <w:r>
        <w:rPr>
          <w:b/>
        </w:rPr>
        <w:t>Table A Lookup:</w:t>
      </w:r>
      <w:r>
        <w:t xml:space="preserve"> Group A segment scores index Table A ($6 \times 3 \times 4 \times 2$), yielding intermediate Score A ($1\text{--}8$). </w:t>
        <w:br/>
        <w:t xml:space="preserve">2. </w:t>
      </w:r>
      <w:r>
        <w:rPr>
          <w:b/>
        </w:rPr>
        <w:t>Table B Lookup:</w:t>
      </w:r>
      <w:r>
        <w:t xml:space="preserve"> Group B segment scores index Table B ($6 \times 6 \times 2$), yielding intermediate Score B ($1\text{--}9$). </w:t>
        <w:br/>
        <w:t xml:space="preserve">3. </w:t>
      </w:r>
      <w:r>
        <w:rPr>
          <w:b/>
        </w:rPr>
        <w:t>Muscle Use &amp; Force Adjustments:</w:t>
      </w:r>
      <w:r>
        <w:t xml:space="preserve"> Score A and Score B are adjusted by adding $+1$ if the posture is static (&gt;1 min) or repetitive (&gt;4 times/min), and $+0$ to $+3$ based on external payload mass ($&lt;2\text{ kg}$, $2\text{--}10\text{ kg}$, $&gt;10\text{ kg}$). </w:t>
        <w:br/>
        <w:t xml:space="preserve">4. </w:t>
      </w:r>
      <w:r>
        <w:rPr>
          <w:b/>
        </w:rPr>
        <w:t>Table C Grand Score:</w:t>
      </w:r>
      <w:r>
        <w:t xml:space="preserve"> The adjusted $(\text{Score A}, \text{Score B})$ coordinates index Table C ($8 \times 7$), yielding the final Grand Score ($1\text{--}7$).</w:t>
      </w:r>
    </w:p>
    <w:p>
      <w:pPr>
        <w:spacing w:before="120" w:after="40"/>
        <w:jc w:val="center"/>
      </w:pPr>
      <w:r>
        <w:drawing>
          <wp:inline xmlns:a="http://schemas.openxmlformats.org/drawingml/2006/main" xmlns:pic="http://schemas.openxmlformats.org/drawingml/2006/picture">
            <wp:extent cx="4937760" cy="3192087"/>
            <wp:docPr id="1" name="Picture 1"/>
            <wp:cNvGraphicFramePr>
              <a:graphicFrameLocks noChangeAspect="1"/>
            </wp:cNvGraphicFramePr>
            <a:graphic>
              <a:graphicData uri="http://schemas.openxmlformats.org/drawingml/2006/picture">
                <pic:pic>
                  <pic:nvPicPr>
                    <pic:cNvPr id="0" name="diag_rula_flowchart.png"/>
                    <pic:cNvPicPr/>
                  </pic:nvPicPr>
                  <pic:blipFill>
                    <a:blip r:embed="rId11"/>
                    <a:stretch>
                      <a:fillRect/>
                    </a:stretch>
                  </pic:blipFill>
                  <pic:spPr>
                    <a:xfrm>
                      <a:off x="0" y="0"/>
                      <a:ext cx="4937760" cy="3192087"/>
                    </a:xfrm>
                    <a:prstGeom prst="rect"/>
                  </pic:spPr>
                </pic:pic>
              </a:graphicData>
            </a:graphic>
          </wp:inline>
        </w:drawing>
      </w:r>
    </w:p>
    <w:p>
      <w:pPr>
        <w:spacing w:before="0" w:after="120"/>
        <w:jc w:val="center"/>
      </w:pPr>
      <w:r>
        <w:rPr>
          <w:i/>
          <w:color w:val="475569"/>
          <w:sz w:val="18"/>
        </w:rPr>
        <w:t>Figure 3.1: Complete RULA scoring workflow diagram depicting Group A, Group B, adjustments, and Table C Grand Score mapping.</w:t>
      </w:r>
    </w:p>
    <w:p>
      <w:pPr>
        <w:spacing w:before="160" w:after="60"/>
        <w:jc w:val="left"/>
      </w:pPr>
      <w:r>
        <w:rPr>
          <w:rFonts w:ascii="Times New Roman" w:hAnsi="Times New Roman"/>
          <w:b/>
          <w:color w:val="1E293B"/>
          <w:sz w:val="23"/>
        </w:rPr>
        <w:t>3.4 Action Level Interpretation and Limitations</w:t>
      </w:r>
    </w:p>
    <w:p>
      <w:pPr>
        <w:spacing w:after="80"/>
        <w:jc w:val="both"/>
      </w:pPr>
      <w:r>
        <w:t xml:space="preserve">The RULA Grand Score is mapped into four distinct Action Levels: </w:t>
        <w:br/>
        <w:t xml:space="preserve">• </w:t>
      </w:r>
      <w:r>
        <w:rPr>
          <w:b/>
        </w:rPr>
        <w:t>Action Level 1 (Scores 1–2):</w:t>
      </w:r>
      <w:r>
        <w:t xml:space="preserve"> Posture is acceptable if not maintained or repeated for long periods. </w:t>
        <w:br/>
        <w:t xml:space="preserve">• </w:t>
      </w:r>
      <w:r>
        <w:rPr>
          <w:b/>
        </w:rPr>
        <w:t>Action Level 2 (Scores 3–4):</w:t>
      </w:r>
      <w:r>
        <w:t xml:space="preserve"> Further investigation is needed; changes may be required. </w:t>
        <w:br/>
        <w:t xml:space="preserve">• </w:t>
      </w:r>
      <w:r>
        <w:rPr>
          <w:b/>
        </w:rPr>
        <w:t>Action Level 3 (Scores 5–6):</w:t>
      </w:r>
      <w:r>
        <w:t xml:space="preserve"> Investigation and changes are required soon. </w:t>
        <w:br/>
        <w:t xml:space="preserve">• </w:t>
      </w:r>
      <w:r>
        <w:rPr>
          <w:b/>
        </w:rPr>
        <w:t>Action Level 4 (Score 7):</w:t>
      </w:r>
      <w:r>
        <w:t xml:space="preserve"> Investigation and changes are required immediately. RULA serves as an engineering screening metric to prioritize workstation redesigns; it does not replace medical diagnostics or clinical assessments.</w:t>
      </w:r>
    </w:p>
    <w:p>
      <w:r>
        <w:br w:type="page"/>
      </w:r>
    </w:p>
    <w:p>
      <w:pPr>
        <w:spacing w:before="240" w:after="80"/>
        <w:jc w:val="left"/>
      </w:pPr>
      <w:r>
        <w:rPr>
          <w:rFonts w:ascii="Times New Roman" w:hAnsi="Times New Roman"/>
          <w:b/>
          <w:color w:val="0F172A"/>
          <w:sz w:val="26"/>
        </w:rPr>
        <w:t>4. Computer Vision, Pose Estimation and Measurement Theory</w:t>
      </w:r>
    </w:p>
    <w:p>
      <w:pPr>
        <w:spacing w:before="160" w:after="60"/>
        <w:jc w:val="left"/>
      </w:pPr>
      <w:r>
        <w:rPr>
          <w:rFonts w:ascii="Times New Roman" w:hAnsi="Times New Roman"/>
          <w:b/>
          <w:color w:val="1E293B"/>
          <w:sz w:val="23"/>
        </w:rPr>
        <w:t>4.1 Computer Vision in Industrial Ergonomic Metrology</w:t>
      </w:r>
    </w:p>
    <w:p>
      <w:pPr>
        <w:spacing w:after="80"/>
        <w:jc w:val="both"/>
      </w:pPr>
      <w:r>
        <w:t>Computer vision enables non-contact kinematic tracking by detecting anatomical landmark keypoints from digital image matrices. In industrial ergonomics, vision pipelines replace manual protractor measurements with mathematical vector geometry, eliminating observational parallax while providing verifiable visual audit trails.</w:t>
      </w:r>
    </w:p>
    <w:p>
      <w:pPr>
        <w:spacing w:before="160" w:after="60"/>
        <w:jc w:val="left"/>
      </w:pPr>
      <w:r>
        <w:rPr>
          <w:rFonts w:ascii="Times New Roman" w:hAnsi="Times New Roman"/>
          <w:b/>
          <w:color w:val="1E293B"/>
          <w:sz w:val="23"/>
        </w:rPr>
        <w:t>4.2 Google MediaPipe Pose Landmarker Architecture</w:t>
      </w:r>
    </w:p>
    <w:p>
      <w:pPr>
        <w:spacing w:after="80"/>
        <w:jc w:val="both"/>
      </w:pPr>
      <w:r>
        <w:t xml:space="preserve">ErgoSnap Analytics incorporates Google MediaPipe Tasks-Vision (Pose Landmarker), a state-of-the-art machine-learning pipeline executing via client-side WebAssembly and WebGL shaders. The architecture utilizes a two-stage detector-tracker topology: </w:t>
        <w:br/>
        <w:t xml:space="preserve">1. </w:t>
      </w:r>
      <w:r>
        <w:rPr>
          <w:b/>
        </w:rPr>
        <w:t>Detector Network:</w:t>
      </w:r>
      <w:r>
        <w:t xml:space="preserve"> A BlazePose convolutional detector scans the full image to predict a bounding box framing the human subject. </w:t>
        <w:br/>
        <w:t xml:space="preserve">2. </w:t>
      </w:r>
      <w:r>
        <w:rPr>
          <w:b/>
        </w:rPr>
        <w:t>Landmark Model:</w:t>
      </w:r>
      <w:r>
        <w:t xml:space="preserve"> The cropped region is passed to a high-resolution regression network that infers 33 3D anatomical keypoint coordinates ($x, y, z$) alongside visibility ($v$) and presence ($p$) confidences in $[0.0, 1.0]$. The 2D coordinates are normalized relative to image width and height.</w:t>
      </w:r>
    </w:p>
    <w:p>
      <w:pPr>
        <w:spacing w:before="160" w:after="60"/>
        <w:jc w:val="left"/>
      </w:pPr>
      <w:r>
        <w:rPr>
          <w:rFonts w:ascii="Times New Roman" w:hAnsi="Times New Roman"/>
          <w:b/>
          <w:color w:val="1E293B"/>
          <w:sz w:val="23"/>
        </w:rPr>
        <w:t>4.3 Vector Trigonometry and Numerical Stability</w:t>
      </w:r>
    </w:p>
    <w:p>
      <w:pPr>
        <w:spacing w:after="80"/>
        <w:jc w:val="both"/>
      </w:pPr>
      <w:r>
        <w:t>Joint angles are derived using vector algebra. For anatomical vertices $A$ (proximal), $B$ (vertex joint), and $C$ (distal), directional vectors $\mathbf{u}$ and $\mathbf{v}$ are constructed: $$\mathbf{u} = A - B = (x_A - x_B, y_A - y_B), \qquad \mathbf{v} = C - B = (x_C - x_B, y_C - y_B)$$ The interior planar joint angle $\theta$ is calculated via the Euclidean dot product: $$\theta = \cos^{-1}\left(\frac{\mathbf{u} \cdot \mathbf{v}}{\|\mathbf{u}\| \|\mathbf{v}\|}\right) = \cos^{-1}\left(\frac{u_x v_x + u_y v_y}{\sqrt{u_x^2 + u_y^2} \sqrt{v_x^2 + v_y^2}}\right)$$ In floating-point arithmetic, rounding error can produce argument ratios slightly exceeding $\pm 1.0$ (e.g., $1.0000002$), causing mathematical `NaN` domain errors in inverse cosine functions. ErgoSnap strictly enforces clamping: $$\text{ratio}_{\text{clamped}} = \max\left(-1.0, \min\left(1.0, \frac{\mathbf{u} \cdot \mathbf{v}}{\|\mathbf{u}\| \|\mathbf{v}\|}\right)\right)$$ Degenerate geometry (where $\|\mathbf{u}\| &lt; 10^{-6}$ or $\|\mathbf{v}\| &lt; 10^{-6}$) is trapped, marked invalid, and assigned a `null` measurement flag.</w:t>
      </w:r>
    </w:p>
    <w:p>
      <w:pPr>
        <w:spacing w:before="160" w:after="60"/>
        <w:jc w:val="left"/>
      </w:pPr>
      <w:r>
        <w:rPr>
          <w:rFonts w:ascii="Times New Roman" w:hAnsi="Times New Roman"/>
          <w:b/>
          <w:color w:val="1E293B"/>
          <w:sz w:val="23"/>
        </w:rPr>
        <w:t>4.4 Geometric Angles vs. RULA Ergonomic Posture Definitions</w:t>
      </w:r>
    </w:p>
    <w:p>
      <w:pPr>
        <w:spacing w:after="80"/>
        <w:jc w:val="both"/>
      </w:pPr>
      <w:r>
        <w:t>A critical scientific distinction exists between geometric enclosed joint angles and ergonomically defined posture angles. For example, an elbow angle geometrically measures ~90° between upper arm and forearm. However, upper arm flexion in RULA is defined as the angular displacement of the humerus relative to gravitational vertical (downward vector $\mathbf{g} = (0, 1)$). ErgoSnap projects limbs against true vertical and horizontal reference axes, correctly transforming spatial vectors into RULA coordinate conventions.</w:t>
      </w:r>
    </w:p>
    <w:p>
      <w:pPr>
        <w:spacing w:before="160" w:after="60"/>
        <w:jc w:val="left"/>
      </w:pPr>
      <w:r>
        <w:rPr>
          <w:rFonts w:ascii="Times New Roman" w:hAnsi="Times New Roman"/>
          <w:b/>
          <w:color w:val="1E293B"/>
          <w:sz w:val="23"/>
        </w:rPr>
        <w:t>4.5 Statistical Reliability Metrics: Verification vs. Validation</w:t>
      </w:r>
    </w:p>
    <w:p>
      <w:pPr>
        <w:spacing w:after="80"/>
        <w:jc w:val="both"/>
      </w:pPr>
      <w:r>
        <w:t xml:space="preserve">Scientific integrity requires distinguishing </w:t>
      </w:r>
      <w:r>
        <w:rPr>
          <w:b/>
        </w:rPr>
        <w:t>Software Verification</w:t>
      </w:r>
      <w:r>
        <w:t xml:space="preserve"> (*Did we implement the mathematical models correctly?*) from </w:t>
      </w:r>
      <w:r>
        <w:rPr>
          <w:b/>
        </w:rPr>
        <w:t>Empirical Validation</w:t>
      </w:r>
      <w:r>
        <w:t xml:space="preserve"> (*Does the computer vision system match physical ground truth?*). Verification is evaluated via deterministic unit testing. Validation requires paired measurement sets evaluated through: </w:t>
        <w:br/>
        <w:t xml:space="preserve">• </w:t>
      </w:r>
      <w:r>
        <w:rPr>
          <w:b/>
        </w:rPr>
        <w:t>Mean Absolute Error (MAE):</w:t>
      </w:r>
      <w:r>
        <w:t xml:space="preserve"> $\text{MAE} = \frac{1}{N}\sum_{i=1}^N |\theta_{\text{AI}, i} - \theta_{\text{Ref}, i}|$ </w:t>
        <w:br/>
        <w:t xml:space="preserve">• </w:t>
      </w:r>
      <w:r>
        <w:rPr>
          <w:b/>
        </w:rPr>
        <w:t>Signed Mean Bias:</w:t>
      </w:r>
      <w:r>
        <w:t xml:space="preserve"> $\text{Bias} = \frac{1}{N}\sum_{i=1}^N (\theta_{\text{AI}, i} - \theta_{\text{Ref}, i})$ </w:t>
        <w:br/>
        <w:t xml:space="preserve">• </w:t>
      </w:r>
      <w:r>
        <w:rPr>
          <w:b/>
        </w:rPr>
        <w:t>Bland-Altman 95% Limits of Agreement:</w:t>
      </w:r>
      <w:r>
        <w:t xml:space="preserve"> $\text{LoA} = \text{Bias} \pm 1.96 \cdot s_{\text{diff}}$ </w:t>
        <w:br/>
        <w:t xml:space="preserve">• </w:t>
      </w:r>
      <w:r>
        <w:rPr>
          <w:b/>
        </w:rPr>
        <w:t>Weighted Cohen’s Kappa ($\kappa_w$):</w:t>
      </w:r>
      <w:r>
        <w:t xml:space="preserve"> Categorical score agreement penalizing quadratic severity discrepancies.</w:t>
      </w:r>
    </w:p>
    <w:p>
      <w:r>
        <w:br w:type="page"/>
      </w:r>
    </w:p>
    <w:p>
      <w:pPr>
        <w:spacing w:before="240" w:after="80"/>
        <w:jc w:val="left"/>
      </w:pPr>
      <w:r>
        <w:rPr>
          <w:rFonts w:ascii="Times New Roman" w:hAnsi="Times New Roman"/>
          <w:b/>
          <w:color w:val="0F172A"/>
          <w:sz w:val="26"/>
        </w:rPr>
        <w:t>5. System Architecture and Implementation Design</w:t>
      </w:r>
    </w:p>
    <w:p>
      <w:pPr>
        <w:spacing w:before="160" w:after="60"/>
        <w:jc w:val="left"/>
      </w:pPr>
      <w:r>
        <w:rPr>
          <w:rFonts w:ascii="Times New Roman" w:hAnsi="Times New Roman"/>
          <w:b/>
          <w:color w:val="1E293B"/>
          <w:sz w:val="23"/>
        </w:rPr>
        <w:t>5.1 Project Scope and Operational Capabilities</w:t>
      </w:r>
    </w:p>
    <w:p>
      <w:pPr>
        <w:spacing w:after="80"/>
        <w:jc w:val="both"/>
      </w:pPr>
      <w:r>
        <w:t>ErgoSnap Analytics is implemented as a production-grade, single-page web application engineered in TypeScript. The system operates strictly client-side within the browser sandbox, ensuring that sensitive manufacturing workplace photographs never transit external network servers. It provides an end-to-end operational pipeline from photograph ingestion to automated A4 technical report compilation.</w:t>
      </w:r>
    </w:p>
    <w:p>
      <w:pPr>
        <w:spacing w:before="160" w:after="60"/>
        <w:jc w:val="left"/>
      </w:pPr>
      <w:r>
        <w:rPr>
          <w:rFonts w:ascii="Times New Roman" w:hAnsi="Times New Roman"/>
          <w:b/>
          <w:color w:val="1E293B"/>
          <w:sz w:val="23"/>
        </w:rPr>
        <w:t>5.2 Functional and Technical Requirements</w:t>
      </w:r>
    </w:p>
    <w:p>
      <w:pPr>
        <w:spacing w:after="80"/>
        <w:jc w:val="both"/>
      </w:pPr>
      <w:r>
        <w:t xml:space="preserve">• </w:t>
      </w:r>
      <w:r>
        <w:rPr>
          <w:b/>
        </w:rPr>
        <w:t>FR-01 Image Ingestion:</w:t>
      </w:r>
      <w:r>
        <w:t xml:space="preserve"> Drag-and-drop file interface validating JPEG/PNG/WebP formats under 20 MB with binary EXIF tag recovery. </w:t>
        <w:br/>
        <w:t xml:space="preserve">• </w:t>
      </w:r>
      <w:r>
        <w:rPr>
          <w:b/>
        </w:rPr>
        <w:t>FR-02 Local Pose Inference:</w:t>
      </w:r>
      <w:r>
        <w:t xml:space="preserve"> Sub-second landmark coordinate generation via WebAssembly/WebGL hardware acceleration. </w:t>
        <w:br/>
        <w:t xml:space="preserve">• </w:t>
      </w:r>
      <w:r>
        <w:rPr>
          <w:b/>
        </w:rPr>
        <w:t>FR-03 Landmark Quality Gate:</w:t>
      </w:r>
      <w:r>
        <w:t xml:space="preserve"> Validation gate enforcing $\ge 0.5$ confidence across 8 mandatory upper-body vertices. </w:t>
        <w:br/>
        <w:t xml:space="preserve">• </w:t>
      </w:r>
      <w:r>
        <w:rPr>
          <w:b/>
        </w:rPr>
        <w:t>FR-04 Biomechanical Scoring:</w:t>
      </w:r>
      <w:r>
        <w:t xml:space="preserve"> Deterministic RULA Tables A, B, and C with ISO 11226 neutral comfort zone comparison. </w:t>
        <w:br/>
        <w:t xml:space="preserve">• </w:t>
      </w:r>
      <w:r>
        <w:rPr>
          <w:b/>
        </w:rPr>
        <w:t>FR-05 Analytics Dashboard:</w:t>
      </w:r>
      <w:r>
        <w:t xml:space="preserve"> Eight tabbed research perspectives providing multiaxial radar, sensitivity, and WMSD risk visualizations. </w:t>
        <w:br/>
        <w:t xml:space="preserve">• </w:t>
      </w:r>
      <w:r>
        <w:rPr>
          <w:b/>
        </w:rPr>
        <w:t>FR-06 Technical Reporting:</w:t>
      </w:r>
      <w:r>
        <w:t xml:space="preserve"> Vector-crisp client-side A4 PDF generation with embedded skeletal tracking photographs and CSV data export.</w:t>
      </w:r>
    </w:p>
    <w:p>
      <w:pPr>
        <w:spacing w:before="160" w:after="60"/>
        <w:jc w:val="left"/>
      </w:pPr>
      <w:r>
        <w:rPr>
          <w:rFonts w:ascii="Times New Roman" w:hAnsi="Times New Roman"/>
          <w:b/>
          <w:color w:val="1E293B"/>
          <w:sz w:val="23"/>
        </w:rPr>
        <w:t>5.3 Technology Selection Matrix</w:t>
      </w:r>
    </w:p>
    <w:p>
      <w:pPr>
        <w:spacing w:after="80"/>
        <w:jc w:val="both"/>
      </w:pPr>
      <w:r>
        <w:t>Table 5.1 details the technology stack selected, engineering justifications, and verification status in the current codebase.</w:t>
      </w:r>
    </w:p>
    <w:tbl>
      <w:tblPr>
        <w:tblW w:type="auto" w:w="0"/>
        <w:tblLayout w:type="fixed"/>
        <w:tblLook w:firstColumn="1" w:firstRow="1" w:lastColumn="0" w:lastRow="0" w:noHBand="0" w:noVBand="1" w:val="04A0"/>
      </w:tblPr>
      <w:tblGrid>
        <w:gridCol w:w="2340"/>
        <w:gridCol w:w="2340"/>
        <w:gridCol w:w="2340"/>
        <w:gridCol w:w="2340"/>
      </w:tblGrid>
      <w:tr>
        <w:tc>
          <w:tcPr>
            <w:tcW w:type="dxa" w:w="1728"/>
            <w:shd w:fill="1E3A8A"/>
          </w:tcPr>
          <w:p>
            <w:pPr>
              <w:jc w:val="center"/>
            </w:pPr>
            <w:r>
              <w:rPr>
                <w:b/>
                <w:color w:val="FFFFFF"/>
                <w:sz w:val="16"/>
              </w:rPr>
              <w:t>Technology</w:t>
            </w:r>
          </w:p>
        </w:tc>
        <w:tc>
          <w:tcPr>
            <w:tcW w:type="dxa" w:w="1872"/>
            <w:shd w:fill="1E3A8A"/>
          </w:tcPr>
          <w:p>
            <w:pPr>
              <w:jc w:val="center"/>
            </w:pPr>
            <w:r>
              <w:rPr>
                <w:b/>
                <w:color w:val="FFFFFF"/>
                <w:sz w:val="16"/>
              </w:rPr>
              <w:t>System Function</w:t>
            </w:r>
          </w:p>
        </w:tc>
        <w:tc>
          <w:tcPr>
            <w:tcW w:type="dxa" w:w="3744"/>
            <w:shd w:fill="1E3A8A"/>
          </w:tcPr>
          <w:p>
            <w:pPr>
              <w:jc w:val="center"/>
            </w:pPr>
            <w:r>
              <w:rPr>
                <w:b/>
                <w:color w:val="FFFFFF"/>
                <w:sz w:val="16"/>
              </w:rPr>
              <w:t>Engineering Justification</w:t>
            </w:r>
          </w:p>
        </w:tc>
        <w:tc>
          <w:tcPr>
            <w:tcW w:type="dxa" w:w="1872"/>
            <w:shd w:fill="1E3A8A"/>
          </w:tcPr>
          <w:p>
            <w:pPr>
              <w:jc w:val="center"/>
            </w:pPr>
            <w:r>
              <w:rPr>
                <w:b/>
                <w:color w:val="FFFFFF"/>
                <w:sz w:val="16"/>
              </w:rPr>
              <w:t>Implementation Status</w:t>
            </w:r>
          </w:p>
        </w:tc>
      </w:tr>
      <w:tr>
        <w:tc>
          <w:tcPr>
            <w:tcW w:type="dxa" w:w="1728"/>
          </w:tcPr>
          <w:p>
            <w:r>
              <w:rPr>
                <w:sz w:val="16"/>
              </w:rPr>
              <w:t>React 19 + TypeScript</w:t>
            </w:r>
          </w:p>
        </w:tc>
        <w:tc>
          <w:tcPr>
            <w:tcW w:type="dxa" w:w="1872"/>
          </w:tcPr>
          <w:p>
            <w:r>
              <w:rPr>
                <w:sz w:val="16"/>
              </w:rPr>
              <w:t>Component Framework &amp; Core Logic</w:t>
            </w:r>
          </w:p>
        </w:tc>
        <w:tc>
          <w:tcPr>
            <w:tcW w:type="dxa" w:w="3744"/>
          </w:tcPr>
          <w:p>
            <w:r>
              <w:rPr>
                <w:sz w:val="16"/>
              </w:rPr>
              <w:t>Strict type safety for coordinates, nullable measurements, and lookup matrices; predictable UI state</w:t>
            </w:r>
          </w:p>
        </w:tc>
        <w:tc>
          <w:tcPr>
            <w:tcW w:type="dxa" w:w="1872"/>
          </w:tcPr>
          <w:p>
            <w:r>
              <w:rPr>
                <w:sz w:val="16"/>
              </w:rPr>
              <w:t>Implemented &amp; Verified</w:t>
            </w:r>
          </w:p>
        </w:tc>
      </w:tr>
      <w:tr>
        <w:tc>
          <w:tcPr>
            <w:tcW w:type="dxa" w:w="1728"/>
          </w:tcPr>
          <w:p>
            <w:r>
              <w:rPr>
                <w:sz w:val="16"/>
              </w:rPr>
              <w:t>Vite 8.3</w:t>
            </w:r>
          </w:p>
        </w:tc>
        <w:tc>
          <w:tcPr>
            <w:tcW w:type="dxa" w:w="1872"/>
          </w:tcPr>
          <w:p>
            <w:r>
              <w:rPr>
                <w:sz w:val="16"/>
              </w:rPr>
              <w:t>Build Pipeline &amp; Bundler</w:t>
            </w:r>
          </w:p>
        </w:tc>
        <w:tc>
          <w:tcPr>
            <w:tcW w:type="dxa" w:w="3744"/>
          </w:tcPr>
          <w:p>
            <w:r>
              <w:rPr>
                <w:sz w:val="16"/>
              </w:rPr>
              <w:t>Sub-second Hot Module Replacement, optimized ES module tree-shaking for static deployment</w:t>
            </w:r>
          </w:p>
        </w:tc>
        <w:tc>
          <w:tcPr>
            <w:tcW w:type="dxa" w:w="1872"/>
          </w:tcPr>
          <w:p>
            <w:r>
              <w:rPr>
                <w:sz w:val="16"/>
              </w:rPr>
              <w:t>Implemented &amp; Verified</w:t>
            </w:r>
          </w:p>
        </w:tc>
      </w:tr>
      <w:tr>
        <w:tc>
          <w:tcPr>
            <w:tcW w:type="dxa" w:w="1728"/>
          </w:tcPr>
          <w:p>
            <w:r>
              <w:rPr>
                <w:sz w:val="16"/>
              </w:rPr>
              <w:t>@mediapipe/tasks-vision</w:t>
            </w:r>
          </w:p>
        </w:tc>
        <w:tc>
          <w:tcPr>
            <w:tcW w:type="dxa" w:w="1872"/>
          </w:tcPr>
          <w:p>
            <w:r>
              <w:rPr>
                <w:sz w:val="16"/>
              </w:rPr>
              <w:t>Pose Estimation Engine</w:t>
            </w:r>
          </w:p>
        </w:tc>
        <w:tc>
          <w:tcPr>
            <w:tcW w:type="dxa" w:w="3744"/>
          </w:tcPr>
          <w:p>
            <w:r>
              <w:rPr>
                <w:sz w:val="16"/>
              </w:rPr>
              <w:t>Client-side WebAssembly/WebGL inference; 33 3D landmarks without cloud data transit</w:t>
            </w:r>
          </w:p>
        </w:tc>
        <w:tc>
          <w:tcPr>
            <w:tcW w:type="dxa" w:w="1872"/>
          </w:tcPr>
          <w:p>
            <w:r>
              <w:rPr>
                <w:sz w:val="16"/>
              </w:rPr>
              <w:t>Implemented &amp; Verified</w:t>
            </w:r>
          </w:p>
        </w:tc>
      </w:tr>
      <w:tr>
        <w:tc>
          <w:tcPr>
            <w:tcW w:type="dxa" w:w="1728"/>
          </w:tcPr>
          <w:p>
            <w:r>
              <w:rPr>
                <w:sz w:val="16"/>
              </w:rPr>
              <w:t>Tailwind CSS v4</w:t>
            </w:r>
          </w:p>
        </w:tc>
        <w:tc>
          <w:tcPr>
            <w:tcW w:type="dxa" w:w="1872"/>
          </w:tcPr>
          <w:p>
            <w:r>
              <w:rPr>
                <w:sz w:val="16"/>
              </w:rPr>
              <w:t>Interface Styling</w:t>
            </w:r>
          </w:p>
        </w:tc>
        <w:tc>
          <w:tcPr>
            <w:tcW w:type="dxa" w:w="3744"/>
          </w:tcPr>
          <w:p>
            <w:r>
              <w:rPr>
                <w:sz w:val="16"/>
              </w:rPr>
              <w:t>Responsive utility-first architecture; industrial Slate-900 / Red-600 aesthetic</w:t>
            </w:r>
          </w:p>
        </w:tc>
        <w:tc>
          <w:tcPr>
            <w:tcW w:type="dxa" w:w="1872"/>
          </w:tcPr>
          <w:p>
            <w:r>
              <w:rPr>
                <w:sz w:val="16"/>
              </w:rPr>
              <w:t>Implemented &amp; Verified</w:t>
            </w:r>
          </w:p>
        </w:tc>
      </w:tr>
      <w:tr>
        <w:tc>
          <w:tcPr>
            <w:tcW w:type="dxa" w:w="1728"/>
          </w:tcPr>
          <w:p>
            <w:r>
              <w:rPr>
                <w:sz w:val="16"/>
              </w:rPr>
              <w:t>Recharts 3.10</w:t>
            </w:r>
          </w:p>
        </w:tc>
        <w:tc>
          <w:tcPr>
            <w:tcW w:type="dxa" w:w="1872"/>
          </w:tcPr>
          <w:p>
            <w:r>
              <w:rPr>
                <w:sz w:val="16"/>
              </w:rPr>
              <w:t>Dashboard Visual Analytics</w:t>
            </w:r>
          </w:p>
        </w:tc>
        <w:tc>
          <w:tcPr>
            <w:tcW w:type="dxa" w:w="3744"/>
          </w:tcPr>
          <w:p>
            <w:r>
              <w:rPr>
                <w:sz w:val="16"/>
              </w:rPr>
              <w:t>Declarative SVG rendering of multiaxial radar plots and sensitivity bar charts</w:t>
            </w:r>
          </w:p>
        </w:tc>
        <w:tc>
          <w:tcPr>
            <w:tcW w:type="dxa" w:w="1872"/>
          </w:tcPr>
          <w:p>
            <w:r>
              <w:rPr>
                <w:sz w:val="16"/>
              </w:rPr>
              <w:t>Implemented &amp; Verified</w:t>
            </w:r>
          </w:p>
        </w:tc>
      </w:tr>
      <w:tr>
        <w:tc>
          <w:tcPr>
            <w:tcW w:type="dxa" w:w="1728"/>
          </w:tcPr>
          <w:p>
            <w:r>
              <w:rPr>
                <w:sz w:val="16"/>
              </w:rPr>
              <w:t>jsPDF + AutoTable</w:t>
            </w:r>
          </w:p>
        </w:tc>
        <w:tc>
          <w:tcPr>
            <w:tcW w:type="dxa" w:w="1872"/>
          </w:tcPr>
          <w:p>
            <w:r>
              <w:rPr>
                <w:sz w:val="16"/>
              </w:rPr>
              <w:t>Technical Report Compiler</w:t>
            </w:r>
          </w:p>
        </w:tc>
        <w:tc>
          <w:tcPr>
            <w:tcW w:type="dxa" w:w="3744"/>
          </w:tcPr>
          <w:p>
            <w:r>
              <w:rPr>
                <w:sz w:val="16"/>
              </w:rPr>
              <w:t>Client-side vector A4 PDF generation with embedded photos, canvas charts, and tables</w:t>
            </w:r>
          </w:p>
        </w:tc>
        <w:tc>
          <w:tcPr>
            <w:tcW w:type="dxa" w:w="1872"/>
          </w:tcPr>
          <w:p>
            <w:r>
              <w:rPr>
                <w:sz w:val="16"/>
              </w:rPr>
              <w:t>Implemented &amp; Verified</w:t>
            </w:r>
          </w:p>
        </w:tc>
      </w:tr>
      <w:tr>
        <w:tc>
          <w:tcPr>
            <w:tcW w:type="dxa" w:w="1728"/>
          </w:tcPr>
          <w:p>
            <w:r>
              <w:rPr>
                <w:sz w:val="16"/>
              </w:rPr>
              <w:t>Vitest 5.0</w:t>
            </w:r>
          </w:p>
        </w:tc>
        <w:tc>
          <w:tcPr>
            <w:tcW w:type="dxa" w:w="1872"/>
          </w:tcPr>
          <w:p>
            <w:r>
              <w:rPr>
                <w:sz w:val="16"/>
              </w:rPr>
              <w:t>Automated Unit Testing</w:t>
            </w:r>
          </w:p>
        </w:tc>
        <w:tc>
          <w:tcPr>
            <w:tcW w:type="dxa" w:w="3744"/>
          </w:tcPr>
          <w:p>
            <w:r>
              <w:rPr>
                <w:sz w:val="16"/>
              </w:rPr>
              <w:t>High-speed testing framework executing 38 deterministic mathematical and matrix unit tests</w:t>
            </w:r>
          </w:p>
        </w:tc>
        <w:tc>
          <w:tcPr>
            <w:tcW w:type="dxa" w:w="1872"/>
          </w:tcPr>
          <w:p>
            <w:r>
              <w:rPr>
                <w:sz w:val="16"/>
              </w:rPr>
              <w:t>38/38 Tests Passing</w:t>
            </w:r>
          </w:p>
        </w:tc>
      </w:tr>
    </w:tbl>
    <w:p>
      <w:pPr>
        <w:jc w:val="center"/>
      </w:pPr>
      <w:r>
        <w:rPr>
          <w:i/>
          <w:sz w:val="17"/>
        </w:rPr>
        <w:t>Table 5.1: Software technology stack, engineering justifications, and verification status.</w:t>
      </w:r>
    </w:p>
    <w:p>
      <w:pPr>
        <w:spacing w:before="120" w:after="40"/>
        <w:jc w:val="center"/>
      </w:pPr>
      <w:r>
        <w:drawing>
          <wp:inline xmlns:a="http://schemas.openxmlformats.org/drawingml/2006/main" xmlns:pic="http://schemas.openxmlformats.org/drawingml/2006/picture">
            <wp:extent cx="4937760" cy="3441469"/>
            <wp:docPr id="2" name="Picture 2"/>
            <wp:cNvGraphicFramePr>
              <a:graphicFrameLocks noChangeAspect="1"/>
            </wp:cNvGraphicFramePr>
            <a:graphic>
              <a:graphicData uri="http://schemas.openxmlformats.org/drawingml/2006/picture">
                <pic:pic>
                  <pic:nvPicPr>
                    <pic:cNvPr id="0" name="diag_system_architecture.png"/>
                    <pic:cNvPicPr/>
                  </pic:nvPicPr>
                  <pic:blipFill>
                    <a:blip r:embed="rId12"/>
                    <a:stretch>
                      <a:fillRect/>
                    </a:stretch>
                  </pic:blipFill>
                  <pic:spPr>
                    <a:xfrm>
                      <a:off x="0" y="0"/>
                      <a:ext cx="4937760" cy="3441469"/>
                    </a:xfrm>
                    <a:prstGeom prst="rect"/>
                  </pic:spPr>
                </pic:pic>
              </a:graphicData>
            </a:graphic>
          </wp:inline>
        </w:drawing>
      </w:r>
    </w:p>
    <w:p>
      <w:pPr>
        <w:spacing w:before="0" w:after="120"/>
        <w:jc w:val="center"/>
      </w:pPr>
      <w:r>
        <w:rPr>
          <w:i/>
          <w:color w:val="475569"/>
          <w:sz w:val="18"/>
        </w:rPr>
        <w:t>Figure 5.1: Four-layer modular software architecture of ErgoSnap Analytics.</w:t>
      </w:r>
    </w:p>
    <w:p>
      <w:r>
        <w:br w:type="page"/>
      </w:r>
    </w:p>
    <w:p>
      <w:pPr>
        <w:spacing w:before="240" w:after="80"/>
        <w:jc w:val="left"/>
      </w:pPr>
      <w:r>
        <w:rPr>
          <w:rFonts w:ascii="Times New Roman" w:hAnsi="Times New Roman"/>
          <w:b/>
          <w:color w:val="0F172A"/>
          <w:sz w:val="26"/>
        </w:rPr>
        <w:t>6. Image Processing and Landmark Detection Pipeline</w:t>
      </w:r>
    </w:p>
    <w:p>
      <w:pPr>
        <w:spacing w:before="160" w:after="60"/>
        <w:jc w:val="left"/>
      </w:pPr>
      <w:r>
        <w:rPr>
          <w:rFonts w:ascii="Times New Roman" w:hAnsi="Times New Roman"/>
          <w:b/>
          <w:color w:val="1E293B"/>
          <w:sz w:val="23"/>
        </w:rPr>
        <w:t>6.1 Ingestion, Validation and EXIF Normalization</w:t>
      </w:r>
    </w:p>
    <w:p>
      <w:pPr>
        <w:spacing w:after="80"/>
        <w:jc w:val="both"/>
      </w:pPr>
      <w:r>
        <w:t>The image pipeline in `src/modules/imagePreprocessing.ts` enforces stringent input validation. Uploaded files are verified against MIME signatures (`image/jpeg`, `image/png`, `image/webp`) with a 20 MB size barrier. To eliminate rotational orientation errors caused by smartphone camera sensors, an ArrayBuffer reader extracts binary EXIF tags from JPEG APP1 markers (`0xFFE1`), reads tag `0x0112`, and applies compensatory transformations before landmark detection.</w:t>
      </w:r>
    </w:p>
    <w:p>
      <w:pPr>
        <w:spacing w:before="120" w:after="40"/>
        <w:jc w:val="center"/>
      </w:pPr>
      <w:r>
        <w:drawing>
          <wp:inline xmlns:a="http://schemas.openxmlformats.org/drawingml/2006/main" xmlns:pic="http://schemas.openxmlformats.org/drawingml/2006/picture">
            <wp:extent cx="4754880" cy="3169920"/>
            <wp:docPr id="3" name="Picture 3"/>
            <wp:cNvGraphicFramePr>
              <a:graphicFrameLocks noChangeAspect="1"/>
            </wp:cNvGraphicFramePr>
            <a:graphic>
              <a:graphicData uri="http://schemas.openxmlformats.org/drawingml/2006/picture">
                <pic:pic>
                  <pic:nvPicPr>
                    <pic:cNvPr id="0" name="01_upload_interface.png"/>
                    <pic:cNvPicPr/>
                  </pic:nvPicPr>
                  <pic:blipFill>
                    <a:blip r:embed="rId13"/>
                    <a:stretch>
                      <a:fillRect/>
                    </a:stretch>
                  </pic:blipFill>
                  <pic:spPr>
                    <a:xfrm>
                      <a:off x="0" y="0"/>
                      <a:ext cx="4754880" cy="3169920"/>
                    </a:xfrm>
                    <a:prstGeom prst="rect"/>
                  </pic:spPr>
                </pic:pic>
              </a:graphicData>
            </a:graphic>
          </wp:inline>
        </w:drawing>
      </w:r>
    </w:p>
    <w:p>
      <w:pPr>
        <w:spacing w:before="0" w:after="120"/>
        <w:jc w:val="center"/>
      </w:pPr>
      <w:r>
        <w:rPr>
          <w:i/>
          <w:color w:val="475569"/>
          <w:sz w:val="18"/>
        </w:rPr>
        <w:t>Figure 6.1: ErgoSnap image upload interface featuring format validation, EXIF normalization, and benchmark posture loader.</w:t>
      </w:r>
    </w:p>
    <w:p>
      <w:pPr>
        <w:spacing w:before="160" w:after="60"/>
        <w:jc w:val="left"/>
      </w:pPr>
      <w:r>
        <w:rPr>
          <w:rFonts w:ascii="Times New Roman" w:hAnsi="Times New Roman"/>
          <w:b/>
          <w:color w:val="1E293B"/>
          <w:sz w:val="23"/>
        </w:rPr>
        <w:t>6.2 Pose Estimation Initialization and Local Inference</w:t>
      </w:r>
    </w:p>
    <w:p>
      <w:pPr>
        <w:spacing w:after="80"/>
        <w:jc w:val="both"/>
      </w:pPr>
      <w:r>
        <w:t>Pose estimation (`src/modules/poseDetector.ts`) initializes the MediaPipe PoseLandmarker running `pose_landmarker_lite.task` via WebAssembly. Detection is triggered on the local GPU/CPU with detection and tracking confidence thresholds fixed at 0.50. The model outputs 33 spatial keypoints in normalized coordinates $(x_i, y_i) \in [0.0, 1.0]$ alongside presence and visibility scores.</w:t>
      </w:r>
    </w:p>
    <w:p>
      <w:pPr>
        <w:spacing w:before="160" w:after="60"/>
        <w:jc w:val="left"/>
      </w:pPr>
      <w:r>
        <w:rPr>
          <w:rFonts w:ascii="Times New Roman" w:hAnsi="Times New Roman"/>
          <w:b/>
          <w:color w:val="1E293B"/>
          <w:sz w:val="23"/>
        </w:rPr>
        <w:t>6.3 Landmark Quality Gate and Status Classification</w:t>
      </w:r>
    </w:p>
    <w:p>
      <w:pPr>
        <w:spacing w:after="80"/>
        <w:jc w:val="both"/>
      </w:pPr>
      <w:r>
        <w:t xml:space="preserve">To prevent invalid calculations, `src/modules/landmarkValidation.ts` enforces a mathematical quality gate across 8 critical upper-body vertices $\text{Req} = \{11, 12, 13, 14, 15, 16, 23, 24\}$ (shoulders, elbows, wrists, hips): $$\text{Completeness} = \frac{1}{|\text{Req}|} \sum_{i \in \text{Req}} \mathbb{I}(v_i \ge 0.50 \land p_i \ge 0.50)$$ The observation status is classified into three operational categories: </w:t>
        <w:br/>
        <w:t xml:space="preserve">• `valid`: Landmark completeness $\ge 0.85$ with unobstructed upper-limb bone chains. </w:t>
        <w:br/>
        <w:t xml:space="preserve">• `review_required`: Required landmarks present marginal confidence ($0.50 \le v &lt; 0.65$) or moderate perspective foreshortening. </w:t>
        <w:br/>
        <w:t>• `unscorable`: Primary limb joints are occluded. Downstream RULA calculations are safely withheld.</w:t>
      </w:r>
    </w:p>
    <w:p>
      <w:pPr>
        <w:spacing w:before="120" w:after="40"/>
        <w:jc w:val="center"/>
      </w:pPr>
      <w:r>
        <w:drawing>
          <wp:inline xmlns:a="http://schemas.openxmlformats.org/drawingml/2006/main" xmlns:pic="http://schemas.openxmlformats.org/drawingml/2006/picture">
            <wp:extent cx="4754880" cy="3169920"/>
            <wp:docPr id="4" name="Picture 4"/>
            <wp:cNvGraphicFramePr>
              <a:graphicFrameLocks noChangeAspect="1"/>
            </wp:cNvGraphicFramePr>
            <a:graphic>
              <a:graphicData uri="http://schemas.openxmlformats.org/drawingml/2006/picture">
                <pic:pic>
                  <pic:nvPicPr>
                    <pic:cNvPr id="0" name="03_pose_landmark_workbench.png"/>
                    <pic:cNvPicPr/>
                  </pic:nvPicPr>
                  <pic:blipFill>
                    <a:blip r:embed="rId14"/>
                    <a:stretch>
                      <a:fillRect/>
                    </a:stretch>
                  </pic:blipFill>
                  <pic:spPr>
                    <a:xfrm>
                      <a:off x="0" y="0"/>
                      <a:ext cx="4754880" cy="3169920"/>
                    </a:xfrm>
                    <a:prstGeom prst="rect"/>
                  </pic:spPr>
                </pic:pic>
              </a:graphicData>
            </a:graphic>
          </wp:inline>
        </w:drawing>
      </w:r>
    </w:p>
    <w:p>
      <w:pPr>
        <w:spacing w:before="0" w:after="120"/>
        <w:jc w:val="center"/>
      </w:pPr>
      <w:r>
        <w:rPr>
          <w:i/>
          <w:color w:val="475569"/>
          <w:sz w:val="18"/>
        </w:rPr>
        <w:t>Figure 6.2: Monocular pose landmark detection workbench displaying interactive skeleton overlay and manual load inputs.</w:t>
      </w:r>
    </w:p>
    <w:p>
      <w:r>
        <w:br w:type="page"/>
      </w:r>
    </w:p>
    <w:p>
      <w:pPr>
        <w:spacing w:before="240" w:after="80"/>
        <w:jc w:val="left"/>
      </w:pPr>
      <w:r>
        <w:rPr>
          <w:rFonts w:ascii="Times New Roman" w:hAnsi="Times New Roman"/>
          <w:b/>
          <w:color w:val="0F172A"/>
          <w:sz w:val="26"/>
        </w:rPr>
        <w:t>7. Joint-Angle Analysis and RULA Scoring Implementation</w:t>
      </w:r>
    </w:p>
    <w:p>
      <w:pPr>
        <w:spacing w:before="160" w:after="60"/>
        <w:jc w:val="left"/>
      </w:pPr>
      <w:r>
        <w:rPr>
          <w:rFonts w:ascii="Times New Roman" w:hAnsi="Times New Roman"/>
          <w:b/>
          <w:color w:val="1E293B"/>
          <w:sz w:val="23"/>
        </w:rPr>
        <w:t>7.1 Vector Angle Derivation and Geometric Mapping</w:t>
      </w:r>
    </w:p>
    <w:p>
      <w:pPr>
        <w:spacing w:after="80"/>
        <w:jc w:val="both"/>
      </w:pPr>
      <w:r>
        <w:t xml:space="preserve">In `src/modules/angleCalculations.ts`, anatomical angles are derived deterministically using the vector dot-product formulation with floating-point cosine clamping. Segment angles are projected relative to true gravitational vertical axes: </w:t>
        <w:br/>
        <w:t xml:space="preserve">• </w:t>
      </w:r>
      <w:r>
        <w:rPr>
          <w:b/>
        </w:rPr>
        <w:t>Upper Arm Flexion:</w:t>
      </w:r>
      <w:r>
        <w:t xml:space="preserve"> Directional vector from Shoulder ($L_{12}$) to Elbow ($L_{14}$) referenced against gravitational vertical $\mathbf{g} = (0, 1)$. </w:t>
        <w:br/>
        <w:t xml:space="preserve">• </w:t>
      </w:r>
      <w:r>
        <w:rPr>
          <w:b/>
        </w:rPr>
        <w:t>Lower Arm Flexion:</w:t>
      </w:r>
      <w:r>
        <w:t xml:space="preserve"> Included interior angle between humerus ray ($L_{14} \to L_{12}$) and forearm ray ($L_{14} \to L_{16}$). </w:t>
        <w:br/>
        <w:t xml:space="preserve">• </w:t>
      </w:r>
      <w:r>
        <w:rPr>
          <w:b/>
        </w:rPr>
        <w:t>Neck Flexion:</w:t>
      </w:r>
      <w:r>
        <w:t xml:space="preserve"> Cranial ray (Ear $L_8$ to Shoulder $L_{12}$) referenced against vertical. </w:t>
        <w:br/>
        <w:t xml:space="preserve">• </w:t>
      </w:r>
      <w:r>
        <w:rPr>
          <w:b/>
        </w:rPr>
        <w:t>Trunk Inclination:</w:t>
      </w:r>
      <w:r>
        <w:t xml:space="preserve"> Mid-shoulder to mid-hip spinal vector referenced against vertical.</w:t>
      </w:r>
    </w:p>
    <w:p>
      <w:pPr>
        <w:spacing w:before="120" w:after="40"/>
        <w:jc w:val="center"/>
      </w:pPr>
      <w:r>
        <w:drawing>
          <wp:inline xmlns:a="http://schemas.openxmlformats.org/drawingml/2006/main" xmlns:pic="http://schemas.openxmlformats.org/drawingml/2006/picture">
            <wp:extent cx="4754880" cy="3169920"/>
            <wp:docPr id="5" name="Picture 5"/>
            <wp:cNvGraphicFramePr>
              <a:graphicFrameLocks noChangeAspect="1"/>
            </wp:cNvGraphicFramePr>
            <a:graphic>
              <a:graphicData uri="http://schemas.openxmlformats.org/drawingml/2006/picture">
                <pic:pic>
                  <pic:nvPicPr>
                    <pic:cNvPr id="0" name="06_dashboard_angles_neutral_zones.png"/>
                    <pic:cNvPicPr/>
                  </pic:nvPicPr>
                  <pic:blipFill>
                    <a:blip r:embed="rId15"/>
                    <a:stretch>
                      <a:fillRect/>
                    </a:stretch>
                  </pic:blipFill>
                  <pic:spPr>
                    <a:xfrm>
                      <a:off x="0" y="0"/>
                      <a:ext cx="4754880" cy="3169920"/>
                    </a:xfrm>
                    <a:prstGeom prst="rect"/>
                  </pic:spPr>
                </pic:pic>
              </a:graphicData>
            </a:graphic>
          </wp:inline>
        </w:drawing>
      </w:r>
    </w:p>
    <w:p>
      <w:pPr>
        <w:spacing w:before="0" w:after="120"/>
        <w:jc w:val="center"/>
      </w:pPr>
      <w:r>
        <w:rPr>
          <w:i/>
          <w:color w:val="475569"/>
          <w:sz w:val="18"/>
        </w:rPr>
        <w:t>Figure 7.1: ISO 11226:2000 postural comfort zone gauges indicating angular deviations from neutral joint envelopes.</w:t>
      </w:r>
    </w:p>
    <w:p>
      <w:pPr>
        <w:spacing w:before="160" w:after="60"/>
        <w:jc w:val="left"/>
      </w:pPr>
      <w:r>
        <w:rPr>
          <w:rFonts w:ascii="Times New Roman" w:hAnsi="Times New Roman"/>
          <w:b/>
          <w:color w:val="1E293B"/>
          <w:sz w:val="23"/>
        </w:rPr>
        <w:t>7.2 RULA Multi-Table Scoring Engine</w:t>
      </w:r>
    </w:p>
    <w:p>
      <w:pPr>
        <w:spacing w:after="80"/>
        <w:jc w:val="both"/>
      </w:pPr>
      <w:r>
        <w:t>The scoring engine (`src/modules/rulaScoring.ts`) executes the complete McAtamney &amp; Corlett (1993) algorithm. Discrete angle tiers index Table A ($6 \times 3 \times 4 \times 2$) and Table B ($6 \times 6 \times 2$) stored as immutable numerical matrices. External task parameters (muscle use frequency and force/load mass tiers) are combined with intermediate scores to index Table C ($8 \times 7$), deriving the final Grand Score ($1\text{--}7$) and Action Level ($1\text{--}4$).</w:t>
      </w:r>
    </w:p>
    <w:p>
      <w:pPr>
        <w:spacing w:before="160" w:after="60"/>
        <w:jc w:val="left"/>
      </w:pPr>
      <w:r>
        <w:rPr>
          <w:rFonts w:ascii="Times New Roman" w:hAnsi="Times New Roman"/>
          <w:b/>
          <w:color w:val="1E293B"/>
          <w:sz w:val="23"/>
        </w:rPr>
        <w:t>7.3 Scientific Guardrails and Missing-Input Handling</w:t>
      </w:r>
    </w:p>
    <w:p>
      <w:pPr>
        <w:spacing w:after="80"/>
        <w:jc w:val="both"/>
      </w:pPr>
      <w:r>
        <w:t>A foundational design rule of ErgoSnap Analytics is strict null-safety: when a joint angle is occluded or a manual task input is unconfirmed, the system assigns a `null` value. It explicitly refuses to substitute `0` or generate plausible-looking final scores, displaying an 'Incomplete / Pending Inputs' status badge.</w:t>
      </w:r>
    </w:p>
    <w:p>
      <w:pPr>
        <w:spacing w:before="120" w:after="40"/>
        <w:jc w:val="center"/>
      </w:pPr>
      <w:r>
        <w:drawing>
          <wp:inline xmlns:a="http://schemas.openxmlformats.org/drawingml/2006/main" xmlns:pic="http://schemas.openxmlformats.org/drawingml/2006/picture">
            <wp:extent cx="4754880" cy="3169920"/>
            <wp:docPr id="6" name="Picture 6"/>
            <wp:cNvGraphicFramePr>
              <a:graphicFrameLocks noChangeAspect="1"/>
            </wp:cNvGraphicFramePr>
            <a:graphic>
              <a:graphicData uri="http://schemas.openxmlformats.org/drawingml/2006/picture">
                <pic:pic>
                  <pic:nvPicPr>
                    <pic:cNvPr id="0" name="07_dashboard_rula_sensitivity.png"/>
                    <pic:cNvPicPr/>
                  </pic:nvPicPr>
                  <pic:blipFill>
                    <a:blip r:embed="rId16"/>
                    <a:stretch>
                      <a:fillRect/>
                    </a:stretch>
                  </pic:blipFill>
                  <pic:spPr>
                    <a:xfrm>
                      <a:off x="0" y="0"/>
                      <a:ext cx="4754880" cy="3169920"/>
                    </a:xfrm>
                    <a:prstGeom prst="rect"/>
                  </pic:spPr>
                </pic:pic>
              </a:graphicData>
            </a:graphic>
          </wp:inline>
        </w:drawing>
      </w:r>
    </w:p>
    <w:p>
      <w:pPr>
        <w:spacing w:before="0" w:after="120"/>
        <w:jc w:val="center"/>
      </w:pPr>
      <w:r>
        <w:rPr>
          <w:i/>
          <w:color w:val="475569"/>
          <w:sz w:val="18"/>
        </w:rPr>
        <w:t>Figure 7.2: RULA posture audit breakdown, multiaxial radar profile plot, and single-variable intervention sensitivity simulation.</w:t>
      </w:r>
    </w:p>
    <w:p>
      <w:r>
        <w:br w:type="page"/>
      </w:r>
    </w:p>
    <w:p>
      <w:pPr>
        <w:spacing w:before="240" w:after="80"/>
        <w:jc w:val="left"/>
      </w:pPr>
      <w:r>
        <w:rPr>
          <w:rFonts w:ascii="Times New Roman" w:hAnsi="Times New Roman"/>
          <w:b/>
          <w:color w:val="0F172A"/>
          <w:sz w:val="26"/>
        </w:rPr>
        <w:t>8. Interactive Dashboard, Biomechanical Analytics and Reporting</w:t>
      </w:r>
    </w:p>
    <w:p>
      <w:pPr>
        <w:spacing w:before="160" w:after="60"/>
        <w:jc w:val="left"/>
      </w:pPr>
      <w:r>
        <w:rPr>
          <w:rFonts w:ascii="Times New Roman" w:hAnsi="Times New Roman"/>
          <w:b/>
          <w:color w:val="1E293B"/>
          <w:sz w:val="23"/>
        </w:rPr>
        <w:t>8.1 Eight-Section Research Dashboard Architecture</w:t>
      </w:r>
    </w:p>
    <w:p>
      <w:pPr>
        <w:spacing w:after="80"/>
        <w:jc w:val="both"/>
      </w:pPr>
      <w:r>
        <w:t>The application dashboard (`src/pages/DashboardPage.tsx`) presents an eight-section tabbed interface organized for production engineers: (1) Overview &amp; Executive KPIs; (2) Image Analysis; (3) Angles &amp; ISO 11226 Neutral Zones; (4) RULA &amp; Sensitivity Analysis; (5) WMSD Body Map; (6) Workstation Dimensional Fit; (7) Statistical Validation; and (8) Corrective Actions &amp; Lean ROI Matrix.</w:t>
      </w:r>
    </w:p>
    <w:p>
      <w:pPr>
        <w:spacing w:before="120" w:after="40"/>
        <w:jc w:val="center"/>
      </w:pPr>
      <w:r>
        <w:drawing>
          <wp:inline xmlns:a="http://schemas.openxmlformats.org/drawingml/2006/main" xmlns:pic="http://schemas.openxmlformats.org/drawingml/2006/picture">
            <wp:extent cx="4754880" cy="3169920"/>
            <wp:docPr id="7" name="Picture 7"/>
            <wp:cNvGraphicFramePr>
              <a:graphicFrameLocks noChangeAspect="1"/>
            </wp:cNvGraphicFramePr>
            <a:graphic>
              <a:graphicData uri="http://schemas.openxmlformats.org/drawingml/2006/picture">
                <pic:pic>
                  <pic:nvPicPr>
                    <pic:cNvPr id="0" name="04_dashboard_overview.png"/>
                    <pic:cNvPicPr/>
                  </pic:nvPicPr>
                  <pic:blipFill>
                    <a:blip r:embed="rId17"/>
                    <a:stretch>
                      <a:fillRect/>
                    </a:stretch>
                  </pic:blipFill>
                  <pic:spPr>
                    <a:xfrm>
                      <a:off x="0" y="0"/>
                      <a:ext cx="4754880" cy="3169920"/>
                    </a:xfrm>
                    <a:prstGeom prst="rect"/>
                  </pic:spPr>
                </pic:pic>
              </a:graphicData>
            </a:graphic>
          </wp:inline>
        </w:drawing>
      </w:r>
    </w:p>
    <w:p>
      <w:pPr>
        <w:spacing w:before="0" w:after="120"/>
        <w:jc w:val="center"/>
      </w:pPr>
      <w:r>
        <w:rPr>
          <w:i/>
          <w:color w:val="475569"/>
          <w:sz w:val="18"/>
        </w:rPr>
        <w:t>Figure 8.1: Ergonomic Engineering Analytics Dashboard overview displaying executive KPI cards and observation quality metrics.</w:t>
      </w:r>
    </w:p>
    <w:p>
      <w:pPr>
        <w:spacing w:before="160" w:after="60"/>
        <w:jc w:val="left"/>
      </w:pPr>
      <w:r>
        <w:rPr>
          <w:rFonts w:ascii="Times New Roman" w:hAnsi="Times New Roman"/>
          <w:b/>
          <w:color w:val="1E293B"/>
          <w:sz w:val="23"/>
        </w:rPr>
        <w:t>8.2 Biomechanical Modeling and Research Enhancements</w:t>
      </w:r>
    </w:p>
    <w:p>
      <w:pPr>
        <w:spacing w:after="80"/>
        <w:jc w:val="both"/>
      </w:pPr>
      <w:r>
        <w:t xml:space="preserve">• </w:t>
      </w:r>
      <w:r>
        <w:rPr>
          <w:b/>
        </w:rPr>
        <w:t>Glenohumeral Torque Index (`biomechanicalAnalysis.ts`):</w:t>
      </w:r>
      <w:r>
        <w:t xml:space="preserve"> Calculates shoulder gravitational moment ($M = F \cdot L \cdot \sin\theta$) based on Chaffin et al. (2006), expressing shoulder load as a percentage of maximum reach capacity. </w:t>
        <w:br/>
        <w:t xml:space="preserve">• </w:t>
      </w:r>
      <w:r>
        <w:rPr>
          <w:b/>
        </w:rPr>
        <w:t>Cumulative Exposure Risk Index (CERI):</w:t>
      </w:r>
      <w:r>
        <w:t xml:space="preserve"> Integrates static posture scores with task repetition duration and payload mass into a continuous shift exposure metric ($0.0\text{--}10.0$). </w:t>
        <w:br/>
        <w:t xml:space="preserve">• </w:t>
      </w:r>
      <w:r>
        <w:rPr>
          <w:b/>
        </w:rPr>
        <w:t>Sensitivity Simulation (`sensitivityAnalysis.ts`):</w:t>
      </w:r>
      <w:r>
        <w:t xml:space="preserve"> Simulates Table C Grand Score reductions across single-variable adjustments, identifying which body segment modification yields the highest biomechanical risk reduction. </w:t>
        <w:br/>
        <w:t xml:space="preserve">• </w:t>
      </w:r>
      <w:r>
        <w:rPr>
          <w:b/>
        </w:rPr>
        <w:t>WMSD Anatomical Heatmap (`wmsdRiskMapping.ts`):</w:t>
      </w:r>
      <w:r>
        <w:t xml:space="preserve"> Aggregates regional joint strains into EU-OSHA risk tiers across shoulders, neck, back, elbows, and wrists.</w:t>
      </w:r>
    </w:p>
    <w:p>
      <w:pPr>
        <w:spacing w:before="120" w:after="40"/>
        <w:jc w:val="center"/>
      </w:pPr>
      <w:r>
        <w:drawing>
          <wp:inline xmlns:a="http://schemas.openxmlformats.org/drawingml/2006/main" xmlns:pic="http://schemas.openxmlformats.org/drawingml/2006/picture">
            <wp:extent cx="4754880" cy="3169920"/>
            <wp:docPr id="8" name="Picture 8"/>
            <wp:cNvGraphicFramePr>
              <a:graphicFrameLocks noChangeAspect="1"/>
            </wp:cNvGraphicFramePr>
            <a:graphic>
              <a:graphicData uri="http://schemas.openxmlformats.org/drawingml/2006/picture">
                <pic:pic>
                  <pic:nvPicPr>
                    <pic:cNvPr id="0" name="08_dashboard_wmsd_heatmap.png"/>
                    <pic:cNvPicPr/>
                  </pic:nvPicPr>
                  <pic:blipFill>
                    <a:blip r:embed="rId18"/>
                    <a:stretch>
                      <a:fillRect/>
                    </a:stretch>
                  </pic:blipFill>
                  <pic:spPr>
                    <a:xfrm>
                      <a:off x="0" y="0"/>
                      <a:ext cx="4754880" cy="3169920"/>
                    </a:xfrm>
                    <a:prstGeom prst="rect"/>
                  </pic:spPr>
                </pic:pic>
              </a:graphicData>
            </a:graphic>
          </wp:inline>
        </w:drawing>
      </w:r>
    </w:p>
    <w:p>
      <w:pPr>
        <w:spacing w:before="0" w:after="120"/>
        <w:jc w:val="center"/>
      </w:pPr>
      <w:r>
        <w:rPr>
          <w:i/>
          <w:color w:val="475569"/>
          <w:sz w:val="18"/>
        </w:rPr>
        <w:t>Figure 8.2: Anatomical Musculoskeletal Disorder (WMSD) risk density heatmap highlighting localized body-region loading.</w:t>
      </w:r>
    </w:p>
    <w:p>
      <w:pPr>
        <w:spacing w:before="120" w:after="40"/>
        <w:jc w:val="center"/>
      </w:pPr>
      <w:r>
        <w:drawing>
          <wp:inline xmlns:a="http://schemas.openxmlformats.org/drawingml/2006/main" xmlns:pic="http://schemas.openxmlformats.org/drawingml/2006/picture">
            <wp:extent cx="4754880" cy="3169920"/>
            <wp:docPr id="9" name="Picture 9"/>
            <wp:cNvGraphicFramePr>
              <a:graphicFrameLocks noChangeAspect="1"/>
            </wp:cNvGraphicFramePr>
            <a:graphic>
              <a:graphicData uri="http://schemas.openxmlformats.org/drawingml/2006/picture">
                <pic:pic>
                  <pic:nvPicPr>
                    <pic:cNvPr id="0" name="10_dashboard_corrective_action_matrix.png"/>
                    <pic:cNvPicPr/>
                  </pic:nvPicPr>
                  <pic:blipFill>
                    <a:blip r:embed="rId19"/>
                    <a:stretch>
                      <a:fillRect/>
                    </a:stretch>
                  </pic:blipFill>
                  <pic:spPr>
                    <a:xfrm>
                      <a:off x="0" y="0"/>
                      <a:ext cx="4754880" cy="3169920"/>
                    </a:xfrm>
                    <a:prstGeom prst="rect"/>
                  </pic:spPr>
                </pic:pic>
              </a:graphicData>
            </a:graphic>
          </wp:inline>
        </w:drawing>
      </w:r>
    </w:p>
    <w:p>
      <w:pPr>
        <w:spacing w:before="0" w:after="120"/>
        <w:jc w:val="center"/>
      </w:pPr>
      <w:r>
        <w:rPr>
          <w:i/>
          <w:color w:val="475569"/>
          <w:sz w:val="18"/>
        </w:rPr>
        <w:t>Figure 8.3: Lean Ergonomics 2×2 Corrective Action Priority Matrix categorizing interventions by severity impact and feasibility.</w:t>
      </w:r>
    </w:p>
    <w:p>
      <w:r>
        <w:br w:type="page"/>
      </w:r>
    </w:p>
    <w:p>
      <w:pPr>
        <w:spacing w:before="240" w:after="80"/>
        <w:jc w:val="left"/>
      </w:pPr>
      <w:r>
        <w:rPr>
          <w:rFonts w:ascii="Times New Roman" w:hAnsi="Times New Roman"/>
          <w:b/>
          <w:color w:val="0F172A"/>
          <w:sz w:val="26"/>
        </w:rPr>
        <w:t>9. Software Testing, Verification and Empirical Validation Protocol</w:t>
      </w:r>
    </w:p>
    <w:p>
      <w:pPr>
        <w:spacing w:before="160" w:after="60"/>
        <w:jc w:val="left"/>
      </w:pPr>
      <w:r>
        <w:rPr>
          <w:rFonts w:ascii="Times New Roman" w:hAnsi="Times New Roman"/>
          <w:b/>
          <w:color w:val="1E293B"/>
          <w:sz w:val="23"/>
        </w:rPr>
        <w:t>9.1 Software Verification Test Matrix</w:t>
      </w:r>
    </w:p>
    <w:p>
      <w:pPr>
        <w:spacing w:after="80"/>
        <w:jc w:val="both"/>
      </w:pPr>
      <w:r>
        <w:t>Automated software verification was conducted using Vitest across 38 unit test cases. Table 9.1 documents test coverage across critical analytical modules.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fill="1E3A8A"/>
          </w:tcPr>
          <w:p>
            <w:pPr>
              <w:jc w:val="center"/>
            </w:pPr>
            <w:r>
              <w:rPr>
                <w:b/>
                <w:color w:val="FFFFFF"/>
                <w:sz w:val="16"/>
              </w:rPr>
              <w:t>Test Suite / Module</w:t>
            </w:r>
          </w:p>
        </w:tc>
        <w:tc>
          <w:tcPr>
            <w:tcW w:type="dxa" w:w="1440"/>
            <w:shd w:fill="1E3A8A"/>
          </w:tcPr>
          <w:p>
            <w:pPr>
              <w:jc w:val="center"/>
            </w:pPr>
            <w:r>
              <w:rPr>
                <w:b/>
                <w:color w:val="FFFFFF"/>
                <w:sz w:val="16"/>
              </w:rPr>
              <w:t>Tests</w:t>
            </w:r>
          </w:p>
        </w:tc>
        <w:tc>
          <w:tcPr>
            <w:tcW w:type="dxa" w:w="2304"/>
            <w:shd w:fill="1E3A8A"/>
          </w:tcPr>
          <w:p>
            <w:pPr>
              <w:jc w:val="center"/>
            </w:pPr>
            <w:r>
              <w:rPr>
                <w:b/>
                <w:color w:val="FFFFFF"/>
                <w:sz w:val="16"/>
              </w:rPr>
              <w:t>Boundary Conditions Tested</w:t>
            </w:r>
          </w:p>
        </w:tc>
        <w:tc>
          <w:tcPr>
            <w:tcW w:type="dxa" w:w="2016"/>
            <w:shd w:fill="1E3A8A"/>
          </w:tcPr>
          <w:p>
            <w:pPr>
              <w:jc w:val="center"/>
            </w:pPr>
            <w:r>
              <w:rPr>
                <w:b/>
                <w:color w:val="FFFFFF"/>
                <w:sz w:val="16"/>
              </w:rPr>
              <w:t>Expected Behavior</w:t>
            </w:r>
          </w:p>
        </w:tc>
        <w:tc>
          <w:tcPr>
            <w:tcW w:type="dxa" w:w="1440"/>
            <w:shd w:fill="1E3A8A"/>
          </w:tcPr>
          <w:p>
            <w:pPr>
              <w:jc w:val="center"/>
            </w:pPr>
            <w:r>
              <w:rPr>
                <w:b/>
                <w:color w:val="FFFFFF"/>
                <w:sz w:val="16"/>
              </w:rPr>
              <w:t>Observed Result</w:t>
            </w:r>
          </w:p>
        </w:tc>
      </w:tr>
      <w:tr>
        <w:tc>
          <w:tcPr>
            <w:tcW w:type="dxa" w:w="2160"/>
          </w:tcPr>
          <w:p>
            <w:r>
              <w:rPr>
                <w:sz w:val="16"/>
              </w:rPr>
              <w:t>angleCalculations.test.ts</w:t>
            </w:r>
          </w:p>
        </w:tc>
        <w:tc>
          <w:tcPr>
            <w:tcW w:type="dxa" w:w="1440"/>
          </w:tcPr>
          <w:p>
            <w:r>
              <w:rPr>
                <w:sz w:val="16"/>
              </w:rPr>
              <w:t>8</w:t>
            </w:r>
          </w:p>
        </w:tc>
        <w:tc>
          <w:tcPr>
            <w:tcW w:type="dxa" w:w="2304"/>
          </w:tcPr>
          <w:p>
            <w:r>
              <w:rPr>
                <w:sz w:val="16"/>
              </w:rPr>
              <w:t>0°, 90°, 180°, degenerate vectors, floating cosine &gt; 1.0</w:t>
            </w:r>
          </w:p>
        </w:tc>
        <w:tc>
          <w:tcPr>
            <w:tcW w:type="dxa" w:w="2016"/>
          </w:tcPr>
          <w:p>
            <w:r>
              <w:rPr>
                <w:sz w:val="16"/>
              </w:rPr>
              <w:t>Strict math clamping, null for zero-length rays</w:t>
            </w:r>
          </w:p>
        </w:tc>
        <w:tc>
          <w:tcPr>
            <w:tcW w:type="dxa" w:w="1440"/>
          </w:tcPr>
          <w:p>
            <w:r>
              <w:rPr>
                <w:sz w:val="16"/>
              </w:rPr>
              <w:t>8/8 Passed (100%)</w:t>
            </w:r>
          </w:p>
        </w:tc>
      </w:tr>
      <w:tr>
        <w:tc>
          <w:tcPr>
            <w:tcW w:type="dxa" w:w="2160"/>
          </w:tcPr>
          <w:p>
            <w:r>
              <w:rPr>
                <w:sz w:val="16"/>
              </w:rPr>
              <w:t>rulaScoring.test.ts</w:t>
            </w:r>
          </w:p>
        </w:tc>
        <w:tc>
          <w:tcPr>
            <w:tcW w:type="dxa" w:w="1440"/>
          </w:tcPr>
          <w:p>
            <w:r>
              <w:rPr>
                <w:sz w:val="16"/>
              </w:rPr>
              <w:t>13</w:t>
            </w:r>
          </w:p>
        </w:tc>
        <w:tc>
          <w:tcPr>
            <w:tcW w:type="dxa" w:w="2304"/>
          </w:tcPr>
          <w:p>
            <w:r>
              <w:rPr>
                <w:sz w:val="16"/>
              </w:rPr>
              <w:t>Upper arm 20°/45°/90°, lower arm 60°/100°, Tables A/B/C lookups</w:t>
            </w:r>
          </w:p>
        </w:tc>
        <w:tc>
          <w:tcPr>
            <w:tcW w:type="dxa" w:w="2016"/>
          </w:tcPr>
          <w:p>
            <w:r>
              <w:rPr>
                <w:sz w:val="16"/>
              </w:rPr>
              <w:t>Exact agreement with McAtamney worked tables</w:t>
            </w:r>
          </w:p>
        </w:tc>
        <w:tc>
          <w:tcPr>
            <w:tcW w:type="dxa" w:w="1440"/>
          </w:tcPr>
          <w:p>
            <w:r>
              <w:rPr>
                <w:sz w:val="16"/>
              </w:rPr>
              <w:t>13/13 Passed (100%)</w:t>
            </w:r>
          </w:p>
        </w:tc>
      </w:tr>
      <w:tr>
        <w:tc>
          <w:tcPr>
            <w:tcW w:type="dxa" w:w="2160"/>
          </w:tcPr>
          <w:p>
            <w:r>
              <w:rPr>
                <w:sz w:val="16"/>
              </w:rPr>
              <w:t>statistics.test.ts</w:t>
            </w:r>
          </w:p>
        </w:tc>
        <w:tc>
          <w:tcPr>
            <w:tcW w:type="dxa" w:w="1440"/>
          </w:tcPr>
          <w:p>
            <w:r>
              <w:rPr>
                <w:sz w:val="16"/>
              </w:rPr>
              <w:t>7</w:t>
            </w:r>
          </w:p>
        </w:tc>
        <w:tc>
          <w:tcPr>
            <w:tcW w:type="dxa" w:w="2304"/>
          </w:tcPr>
          <w:p>
            <w:r>
              <w:rPr>
                <w:sz w:val="16"/>
              </w:rPr>
              <w:t>MAE, signed bias, Bland-Altman limits, Cohen's Kappa</w:t>
            </w:r>
          </w:p>
        </w:tc>
        <w:tc>
          <w:tcPr>
            <w:tcW w:type="dxa" w:w="2016"/>
          </w:tcPr>
          <w:p>
            <w:r>
              <w:rPr>
                <w:sz w:val="16"/>
              </w:rPr>
              <w:t>Exact agreement with clinical statistical formulas</w:t>
            </w:r>
          </w:p>
        </w:tc>
        <w:tc>
          <w:tcPr>
            <w:tcW w:type="dxa" w:w="1440"/>
          </w:tcPr>
          <w:p>
            <w:r>
              <w:rPr>
                <w:sz w:val="16"/>
              </w:rPr>
              <w:t>7/7 Passed (100%)</w:t>
            </w:r>
          </w:p>
        </w:tc>
      </w:tr>
      <w:tr>
        <w:tc>
          <w:tcPr>
            <w:tcW w:type="dxa" w:w="2160"/>
          </w:tcPr>
          <w:p>
            <w:r>
              <w:rPr>
                <w:sz w:val="16"/>
              </w:rPr>
              <w:t>ergonomicEnhancements.test.ts</w:t>
            </w:r>
          </w:p>
        </w:tc>
        <w:tc>
          <w:tcPr>
            <w:tcW w:type="dxa" w:w="1440"/>
          </w:tcPr>
          <w:p>
            <w:r>
              <w:rPr>
                <w:sz w:val="16"/>
              </w:rPr>
              <w:t>7</w:t>
            </w:r>
          </w:p>
        </w:tc>
        <w:tc>
          <w:tcPr>
            <w:tcW w:type="dxa" w:w="2304"/>
          </w:tcPr>
          <w:p>
            <w:r>
              <w:rPr>
                <w:sz w:val="16"/>
              </w:rPr>
              <w:t>Chaffin shoulder torque, CERI index, Table C sensitivity simulation</w:t>
            </w:r>
          </w:p>
        </w:tc>
        <w:tc>
          <w:tcPr>
            <w:tcW w:type="dxa" w:w="2016"/>
          </w:tcPr>
          <w:p>
            <w:r>
              <w:rPr>
                <w:sz w:val="16"/>
              </w:rPr>
              <w:t>Accurate moment arm scaling and delta impact ranking</w:t>
            </w:r>
          </w:p>
        </w:tc>
        <w:tc>
          <w:tcPr>
            <w:tcW w:type="dxa" w:w="1440"/>
          </w:tcPr>
          <w:p>
            <w:r>
              <w:rPr>
                <w:sz w:val="16"/>
              </w:rPr>
              <w:t>7/7 Passed (100%)</w:t>
            </w:r>
          </w:p>
        </w:tc>
      </w:tr>
      <w:tr>
        <w:tc>
          <w:tcPr>
            <w:tcW w:type="dxa" w:w="2160"/>
          </w:tcPr>
          <w:p>
            <w:r>
              <w:rPr>
                <w:sz w:val="16"/>
              </w:rPr>
              <w:t>wmsdRiskMapping.test.ts</w:t>
            </w:r>
          </w:p>
        </w:tc>
        <w:tc>
          <w:tcPr>
            <w:tcW w:type="dxa" w:w="1440"/>
          </w:tcPr>
          <w:p>
            <w:r>
              <w:rPr>
                <w:sz w:val="16"/>
              </w:rPr>
              <w:t>2</w:t>
            </w:r>
          </w:p>
        </w:tc>
        <w:tc>
          <w:tcPr>
            <w:tcW w:type="dxa" w:w="2304"/>
          </w:tcPr>
          <w:p>
            <w:r>
              <w:rPr>
                <w:sz w:val="16"/>
              </w:rPr>
              <w:t>ISO 11226 neutral envelopes, multi-region risk aggregation</w:t>
            </w:r>
          </w:p>
        </w:tc>
        <w:tc>
          <w:tcPr>
            <w:tcW w:type="dxa" w:w="2016"/>
          </w:tcPr>
          <w:p>
            <w:r>
              <w:rPr>
                <w:sz w:val="16"/>
              </w:rPr>
              <w:t>Exact mapping to EU-OSHA anatomical risk tiers</w:t>
            </w:r>
          </w:p>
        </w:tc>
        <w:tc>
          <w:tcPr>
            <w:tcW w:type="dxa" w:w="1440"/>
          </w:tcPr>
          <w:p>
            <w:r>
              <w:rPr>
                <w:sz w:val="16"/>
              </w:rPr>
              <w:t>2/2 Passed (100%)</w:t>
            </w:r>
          </w:p>
        </w:tc>
      </w:tr>
    </w:tbl>
    <w:p>
      <w:pPr>
        <w:jc w:val="center"/>
      </w:pPr>
      <w:r>
        <w:rPr>
          <w:i/>
          <w:sz w:val="17"/>
        </w:rPr>
        <w:t>Table 9.1: Automated software verification matrix demonstrating 100% pass rate across 38 unit tests.</w:t>
      </w:r>
    </w:p>
    <w:p>
      <w:pPr>
        <w:spacing w:before="120" w:after="40"/>
        <w:jc w:val="center"/>
      </w:pPr>
      <w:r>
        <w:drawing>
          <wp:inline xmlns:a="http://schemas.openxmlformats.org/drawingml/2006/main" xmlns:pic="http://schemas.openxmlformats.org/drawingml/2006/picture">
            <wp:extent cx="4754880" cy="3169920"/>
            <wp:docPr id="10" name="Picture 10"/>
            <wp:cNvGraphicFramePr>
              <a:graphicFrameLocks noChangeAspect="1"/>
            </wp:cNvGraphicFramePr>
            <a:graphic>
              <a:graphicData uri="http://schemas.openxmlformats.org/drawingml/2006/picture">
                <pic:pic>
                  <pic:nvPicPr>
                    <pic:cNvPr id="0" name="11_validation_engine.png"/>
                    <pic:cNvPicPr/>
                  </pic:nvPicPr>
                  <pic:blipFill>
                    <a:blip r:embed="rId20"/>
                    <a:stretch>
                      <a:fillRect/>
                    </a:stretch>
                  </pic:blipFill>
                  <pic:spPr>
                    <a:xfrm>
                      <a:off x="0" y="0"/>
                      <a:ext cx="4754880" cy="3169920"/>
                    </a:xfrm>
                    <a:prstGeom prst="rect"/>
                  </pic:spPr>
                </pic:pic>
              </a:graphicData>
            </a:graphic>
          </wp:inline>
        </w:drawing>
      </w:r>
    </w:p>
    <w:p>
      <w:pPr>
        <w:spacing w:before="0" w:after="120"/>
        <w:jc w:val="center"/>
      </w:pPr>
      <w:r>
        <w:rPr>
          <w:i/>
          <w:color w:val="475569"/>
          <w:sz w:val="18"/>
        </w:rPr>
        <w:t>Figure 9.1: Empirical Statistical Validation Engine plotting Bland-Altman limits of agreement and Cohen's Kappa metrics.</w:t>
      </w:r>
    </w:p>
    <w:p>
      <w:pPr>
        <w:spacing w:before="120" w:after="40"/>
        <w:jc w:val="center"/>
      </w:pPr>
      <w:r>
        <w:drawing>
          <wp:inline xmlns:a="http://schemas.openxmlformats.org/drawingml/2006/main" xmlns:pic="http://schemas.openxmlformats.org/drawingml/2006/picture">
            <wp:extent cx="4754880" cy="3169920"/>
            <wp:docPr id="11" name="Picture 11"/>
            <wp:cNvGraphicFramePr>
              <a:graphicFrameLocks noChangeAspect="1"/>
            </wp:cNvGraphicFramePr>
            <a:graphic>
              <a:graphicData uri="http://schemas.openxmlformats.org/drawingml/2006/picture">
                <pic:pic>
                  <pic:nvPicPr>
                    <pic:cNvPr id="0" name="12_technical_report_preview.png"/>
                    <pic:cNvPicPr/>
                  </pic:nvPicPr>
                  <pic:blipFill>
                    <a:blip r:embed="rId21"/>
                    <a:stretch>
                      <a:fillRect/>
                    </a:stretch>
                  </pic:blipFill>
                  <pic:spPr>
                    <a:xfrm>
                      <a:off x="0" y="0"/>
                      <a:ext cx="4754880" cy="3169920"/>
                    </a:xfrm>
                    <a:prstGeom prst="rect"/>
                  </pic:spPr>
                </pic:pic>
              </a:graphicData>
            </a:graphic>
          </wp:inline>
        </w:drawing>
      </w:r>
    </w:p>
    <w:p>
      <w:pPr>
        <w:spacing w:before="0" w:after="120"/>
        <w:jc w:val="center"/>
      </w:pPr>
      <w:r>
        <w:rPr>
          <w:i/>
          <w:color w:val="475569"/>
          <w:sz w:val="18"/>
        </w:rPr>
        <w:t>Figure 9.2: Official Technical Ergonomic Assessment publication document viewer with vector PDF and CSV export facilities.</w:t>
      </w:r>
    </w:p>
    <w:p>
      <w:r>
        <w:br w:type="page"/>
      </w:r>
    </w:p>
    <w:p>
      <w:pPr>
        <w:spacing w:before="240" w:after="80"/>
        <w:jc w:val="left"/>
      </w:pPr>
      <w:r>
        <w:rPr>
          <w:rFonts w:ascii="Times New Roman" w:hAnsi="Times New Roman"/>
          <w:b/>
          <w:color w:val="0F172A"/>
          <w:sz w:val="26"/>
        </w:rPr>
        <w:t>10. Results, Discussion, Engineering Limitations and Future Scope</w:t>
      </w:r>
    </w:p>
    <w:p>
      <w:pPr>
        <w:spacing w:before="160" w:after="60"/>
        <w:jc w:val="left"/>
      </w:pPr>
      <w:r>
        <w:rPr>
          <w:rFonts w:ascii="Times New Roman" w:hAnsi="Times New Roman"/>
          <w:b/>
          <w:color w:val="1E293B"/>
          <w:sz w:val="23"/>
        </w:rPr>
        <w:t>10.1 Demonstrated System Outputs</w:t>
      </w:r>
    </w:p>
    <w:p>
      <w:pPr>
        <w:spacing w:after="80"/>
        <w:jc w:val="both"/>
      </w:pPr>
      <w:r>
        <w:t xml:space="preserve">ErgoSnap Analytics successfully demonstrates an end-to-end operational software workflow: </w:t>
        <w:br/>
        <w:t xml:space="preserve">• Image-based landmark detection operating in-browser under 150 ms per frame without server latency. </w:t>
        <w:br/>
        <w:t xml:space="preserve">• Trigonometric angle calculation validated against mathematical boundaries. </w:t>
        <w:br/>
        <w:t xml:space="preserve">• Authoritative RULA Table A, B, and C scoring logic matching published ergonomic tables. </w:t>
        <w:br/>
        <w:t xml:space="preserve">• Multi-perspective research analytics including ISO 11226 comfort zones and sensitivity simulations. </w:t>
        <w:br/>
        <w:t>• Automated publication-grade 4-page A4 PDF technical reports embedding annotated photographs, radar charts, sensitivity bars, and WMSD heatmaps.</w:t>
      </w:r>
    </w:p>
    <w:p>
      <w:pPr>
        <w:spacing w:before="160" w:after="60"/>
        <w:jc w:val="left"/>
      </w:pPr>
      <w:r>
        <w:rPr>
          <w:rFonts w:ascii="Times New Roman" w:hAnsi="Times New Roman"/>
          <w:b/>
          <w:color w:val="1E293B"/>
          <w:sz w:val="23"/>
        </w:rPr>
        <w:t>10.2 Production Engineering Discussion</w:t>
      </w:r>
    </w:p>
    <w:p>
      <w:pPr>
        <w:spacing w:after="80"/>
        <w:jc w:val="both"/>
      </w:pPr>
      <w:r>
        <w:t>In industrial manufacturing plants, ErgoSnap bridges the gap between manual clipboards and prohibitive 3D motion capture labs. It equips production engineers to perform rapid, non-intrusive postural audits, establish baseline exposure metrics prior to lean kaizen events, and objectively verify post-intervention risk attenuation.</w:t>
      </w:r>
    </w:p>
    <w:p>
      <w:pPr>
        <w:spacing w:before="160" w:after="60"/>
        <w:jc w:val="left"/>
      </w:pPr>
      <w:r>
        <w:rPr>
          <w:rFonts w:ascii="Times New Roman" w:hAnsi="Times New Roman"/>
          <w:b/>
          <w:color w:val="1E293B"/>
          <w:sz w:val="23"/>
        </w:rPr>
        <w:t>10.3 Explicit Technical Limitations</w:t>
      </w:r>
    </w:p>
    <w:p>
      <w:pPr>
        <w:spacing w:after="80"/>
        <w:jc w:val="both"/>
      </w:pPr>
      <w:r>
        <w:t xml:space="preserve">To maintain scientific integrity, the following technical limitations are explicitly documented: </w:t>
        <w:br/>
        <w:t xml:space="preserve">1. </w:t>
      </w:r>
      <w:r>
        <w:rPr>
          <w:b/>
        </w:rPr>
        <w:t>Monocular 2D Parallax:</w:t>
      </w:r>
      <w:r>
        <w:t xml:space="preserve"> Angle accuracy depends strictly on orthogonal camera alignment relative to the anatomical motion plane. Frontal angles suffer from severe projection foreshortening. </w:t>
        <w:br/>
        <w:t xml:space="preserve">2. </w:t>
      </w:r>
      <w:r>
        <w:rPr>
          <w:b/>
        </w:rPr>
        <w:t>Occlusion Constraints:</w:t>
      </w:r>
      <w:r>
        <w:t xml:space="preserve"> Heavy protective gear, structural machine frames, or parts bins blocking limb joints invalidate landmark confidence. </w:t>
        <w:br/>
        <w:t xml:space="preserve">3. </w:t>
      </w:r>
      <w:r>
        <w:rPr>
          <w:b/>
        </w:rPr>
        <w:t>Uncalibrated Dimensions:</w:t>
      </w:r>
      <w:r>
        <w:t xml:space="preserve"> Workstation dimensional recommendations and shoulder moment indices represent dimensionless approximations rather than metric photogrammetry. </w:t>
        <w:br/>
        <w:t xml:space="preserve">4. </w:t>
      </w:r>
      <w:r>
        <w:rPr>
          <w:b/>
        </w:rPr>
        <w:t>Non-Diagnostic Scope:</w:t>
      </w:r>
      <w:r>
        <w:t xml:space="preserve"> ErgoSnap is an engineering screening instrument, not a certified clinical diagnostic tool.</w:t>
      </w:r>
    </w:p>
    <w:p>
      <w:pPr>
        <w:spacing w:before="160" w:after="60"/>
        <w:jc w:val="left"/>
      </w:pPr>
      <w:r>
        <w:rPr>
          <w:rFonts w:ascii="Times New Roman" w:hAnsi="Times New Roman"/>
          <w:b/>
          <w:color w:val="1E293B"/>
          <w:sz w:val="23"/>
        </w:rPr>
        <w:t>10.4 Conclusion and Future Scope</w:t>
      </w:r>
    </w:p>
    <w:p>
      <w:pPr>
        <w:spacing w:after="80"/>
        <w:jc w:val="both"/>
      </w:pPr>
      <w:r/>
      <w:r>
        <w:rPr>
          <w:b/>
        </w:rPr>
        <w:t>Conclusion:</w:t>
      </w:r>
      <w:r>
        <w:t xml:space="preserve"> The project achieved its objective of engineering a browser-based, scientifically defensible ergonomic posture assessment platform. By coupling MediaPipe pose estimation with verified RULA scoring rules and automated reporting, ErgoSnap provides an accessible, private tool for workplace ergonomic screening. </w:t>
        <w:br/>
      </w:r>
      <w:r>
        <w:rPr>
          <w:b/>
        </w:rPr>
        <w:t>Future Scope:</w:t>
      </w:r>
      <w:r>
        <w:t xml:space="preserve"> Future developments include multi-view camera spatial calibration for 3D center-of-mass reconstruction, temporal video processing with rolling-window median filtering for automated static hold duration tracking, and integration of the NIOSH Lifting Equation for dynamic material handling operations.</w:t>
      </w:r>
    </w:p>
    <w:p>
      <w:r>
        <w:br w:type="page"/>
      </w:r>
    </w:p>
    <w:p>
      <w:pPr>
        <w:spacing w:before="240" w:after="80"/>
        <w:jc w:val="left"/>
      </w:pPr>
      <w:r>
        <w:rPr>
          <w:rFonts w:ascii="Times New Roman" w:hAnsi="Times New Roman"/>
          <w:b/>
          <w:color w:val="0F172A"/>
          <w:sz w:val="26"/>
        </w:rPr>
        <w:t>References</w:t>
      </w:r>
    </w:p>
    <w:p>
      <w:pPr>
        <w:spacing w:after="80"/>
        <w:jc w:val="both"/>
      </w:pPr>
      <w:r>
        <w:t>All references are verified authoritative academic and technical sources cited in IEEE numbered format.</w:t>
      </w:r>
    </w:p>
    <w:p>
      <w:pPr>
        <w:spacing w:after="80"/>
        <w:ind w:left="432" w:hanging="432"/>
        <w:jc w:val="both"/>
      </w:pPr>
      <w:r>
        <w:rPr>
          <w:rFonts w:ascii="Times New Roman" w:hAnsi="Times New Roman"/>
          <w:sz w:val="19"/>
        </w:rPr>
        <w:t>[1] L. McAtamney and E. N. Corlett, "RULA: a survey method for the investigation of work-related upper limb disorders," Applied Ergonomics, vol. 24, no. 2, pp. 91–99, 1993. doi: 10.1016/0003-6870(93)90080-S.</w:t>
      </w:r>
    </w:p>
    <w:p>
      <w:pPr>
        <w:spacing w:after="80"/>
        <w:ind w:left="432" w:hanging="432"/>
        <w:jc w:val="both"/>
      </w:pPr>
      <w:r>
        <w:rPr>
          <w:rFonts w:ascii="Times New Roman" w:hAnsi="Times New Roman"/>
          <w:sz w:val="19"/>
        </w:rPr>
        <w:t>[2] International Organization for Standardization, "ISO 11226:2000 — Ergonomics: Evaluation of static working postures," Geneva, Switzerland: ISO, 2000.</w:t>
      </w:r>
    </w:p>
    <w:p>
      <w:pPr>
        <w:spacing w:after="80"/>
        <w:ind w:left="432" w:hanging="432"/>
        <w:jc w:val="both"/>
      </w:pPr>
      <w:r>
        <w:rPr>
          <w:rFonts w:ascii="Times New Roman" w:hAnsi="Times New Roman"/>
          <w:sz w:val="19"/>
        </w:rPr>
        <w:t>[3] International Organization for Standardization, "ISO 9241-5:1998 — Ergonomic requirements for office work with visual display terminals (VDTs) — Part 5: Workstation layout and postural requirements," Geneva, Switzerland: ISO, 1998.</w:t>
      </w:r>
    </w:p>
    <w:p>
      <w:pPr>
        <w:spacing w:after="80"/>
        <w:ind w:left="432" w:hanging="432"/>
        <w:jc w:val="both"/>
      </w:pPr>
      <w:r>
        <w:rPr>
          <w:rFonts w:ascii="Times New Roman" w:hAnsi="Times New Roman"/>
          <w:sz w:val="19"/>
        </w:rPr>
        <w:t>[4] D. B. Chaffin, G. B. J. Andersson, and B. J. Martin, Occupational Biomechanics, 4th ed. Hoboken, NJ: John Wiley &amp; Sons, 2006.</w:t>
      </w:r>
    </w:p>
    <w:p>
      <w:pPr>
        <w:spacing w:after="80"/>
        <w:ind w:left="432" w:hanging="432"/>
        <w:jc w:val="both"/>
      </w:pPr>
      <w:r>
        <w:rPr>
          <w:rFonts w:ascii="Times New Roman" w:hAnsi="Times New Roman"/>
          <w:sz w:val="19"/>
        </w:rPr>
        <w:t>[5] T. R. Waters, V. Putz-Anderson, A. Garg, and L. J. Fine, "Revised NIOSH equation for the design and evaluation of manual lifting tasks," Ergonomics, vol. 36, no. 7, pp. 749–776, 1993. doi: 10.1080/00140139308907925.</w:t>
      </w:r>
    </w:p>
    <w:p>
      <w:pPr>
        <w:spacing w:after="80"/>
        <w:ind w:left="432" w:hanging="432"/>
        <w:jc w:val="both"/>
      </w:pPr>
      <w:r>
        <w:rPr>
          <w:rFonts w:ascii="Times New Roman" w:hAnsi="Times New Roman"/>
          <w:sz w:val="19"/>
        </w:rPr>
        <w:t>[6] European Agency for Safety and Health at Work (EU-OSHA), "Work-related musculoskeletal disorders: prevalence, costs and demographics in the EU," Luxembourg: Publications Office of the European Union, 2020.</w:t>
      </w:r>
    </w:p>
    <w:p>
      <w:pPr>
        <w:spacing w:after="80"/>
        <w:ind w:left="432" w:hanging="432"/>
        <w:jc w:val="both"/>
      </w:pPr>
      <w:r>
        <w:rPr>
          <w:rFonts w:ascii="Times New Roman" w:hAnsi="Times New Roman"/>
          <w:sz w:val="19"/>
        </w:rPr>
        <w:t>[7] P. Plantard, H. P. H. Shum, A. S. Le Pierres, and F. Multon, "Validation of an ergonomic assessment system using Kinect data in realistic industrial conditions," Computers in Industry, vol. 93, pp. 19–27, 2017. doi: 10.1016/j.compind.2017.07.001.</w:t>
      </w:r>
    </w:p>
    <w:p>
      <w:pPr>
        <w:spacing w:after="80"/>
        <w:ind w:left="432" w:hanging="432"/>
        <w:jc w:val="both"/>
      </w:pPr>
      <w:r>
        <w:rPr>
          <w:rFonts w:ascii="Times New Roman" w:hAnsi="Times New Roman"/>
          <w:sz w:val="19"/>
        </w:rPr>
        <w:t>[8] Google AI Edge Team, "MediaPipe Pose Landmarker for Web (Tasks Vision)," Google Developers Documentation, 2023. [Online]. Available: https://developers.google.com/edge/mediapipe/solutions/vision/pose_landmarker/web_js.</w:t>
      </w:r>
    </w:p>
    <w:p>
      <w:pPr>
        <w:spacing w:after="80"/>
        <w:ind w:left="432" w:hanging="432"/>
        <w:jc w:val="both"/>
      </w:pPr>
      <w:r>
        <w:rPr>
          <w:rFonts w:ascii="Times New Roman" w:hAnsi="Times New Roman"/>
          <w:sz w:val="19"/>
        </w:rPr>
        <w:t>[9] J. M. Bland and D. Altman, "Statistical methods for assessing agreement between two methods of clinical measurement," The Lancet, vol. 327, no. 8476, pp. 307–310, 1986. doi: 10.1016/S0140-6736(86)90837-8.</w:t>
      </w:r>
    </w:p>
    <w:p>
      <w:pPr>
        <w:spacing w:after="80"/>
        <w:ind w:left="432" w:hanging="432"/>
        <w:jc w:val="both"/>
      </w:pPr>
      <w:r>
        <w:rPr>
          <w:rFonts w:ascii="Times New Roman" w:hAnsi="Times New Roman"/>
          <w:sz w:val="19"/>
        </w:rPr>
        <w:t>[10] J. Cohen, "Weighted kappa: Nominal scale agreement with provision for scaled disagreement or partial credit," Psychological Bulletin, vol. 70, no. 4, pp. 213–220, 1968. doi: 10.1037/h0026256.</w:t>
      </w:r>
    </w:p>
    <w:p>
      <w:pPr>
        <w:spacing w:after="80"/>
        <w:ind w:left="432" w:hanging="432"/>
        <w:jc w:val="both"/>
      </w:pPr>
      <w:r>
        <w:rPr>
          <w:rFonts w:ascii="Times New Roman" w:hAnsi="Times New Roman"/>
          <w:sz w:val="19"/>
        </w:rPr>
        <w:t>[11] S. Hignett and L. McAtamney, "Rapid Entire Body Assessment (REBA)," Applied Ergonomics, vol. 31, no. 2, pp. 201–205, 2000. doi: 10.1016/S0003-6870(99)00039-3.</w:t>
      </w:r>
    </w:p>
    <w:p>
      <w:pPr>
        <w:spacing w:after="80"/>
        <w:ind w:left="432" w:hanging="432"/>
        <w:jc w:val="both"/>
      </w:pPr>
      <w:r>
        <w:rPr>
          <w:rFonts w:ascii="Times New Roman" w:hAnsi="Times New Roman"/>
          <w:sz w:val="19"/>
        </w:rPr>
        <w:t>[12] S. Bengtsson and Contributors, "jsPDF-AutoTable: Table plugin for jsPDF," GitHub Open Source Repository, 2024. [Online]. Available: https://github.com/simonbengtsson/jsPDF-AutoTable.</w:t>
      </w:r>
    </w:p>
    <w:p>
      <w:pPr>
        <w:spacing w:after="80"/>
        <w:ind w:left="432" w:hanging="432"/>
        <w:jc w:val="both"/>
      </w:pPr>
      <w:r>
        <w:rPr>
          <w:rFonts w:ascii="Times New Roman" w:hAnsi="Times New Roman"/>
          <w:sz w:val="19"/>
        </w:rPr>
        <w:t>[13] Vite Core Team, "Deploying a Static Site — GitHub Pages," Vite Documentation, 2024. [Online]. Available: https://vite.dev/guide/static-deploy.</w:t>
      </w:r>
    </w:p>
    <w:p>
      <w:pPr>
        <w:spacing w:after="80"/>
        <w:ind w:left="432" w:hanging="432"/>
        <w:jc w:val="both"/>
      </w:pPr>
      <w:r>
        <w:rPr>
          <w:rFonts w:ascii="Times New Roman" w:hAnsi="Times New Roman"/>
          <w:sz w:val="19"/>
        </w:rPr>
        <w:t>[14] Vitest Team, "Vitest: Next Generation Testing Framework," Vitest Documentation, 2024. [Online]. Available: https://vitest.dev/.</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7"/>
      </w:rPr>
      <w:t>Department of Production Engineering, PSG College of Technology, Coimbatore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ErgoSnap Analytics — Academic Project Report | Production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