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highlight w:val="none"/>
          <w:lang w:val="en-IN"/>
        </w:rPr>
      </w:pPr>
      <w:r>
        <w:tab/>
        <w:tab/>
        <w:tab/>
        <w:tab/>
      </w:r>
      <w:r>
        <w:rPr>
          <w:b/>
          <w:bCs/>
          <w:lang w:val="en-IN"/>
        </w:rPr>
        <w:tab/>
        <w:t xml:space="preserve">RULES:</w:t>
      </w:r>
      <w:r>
        <w:rPr>
          <w:b/>
          <w:bCs/>
          <w:highlight w:val="none"/>
          <w:lang w:val="en-IN"/>
        </w:rPr>
      </w:r>
    </w:p>
    <w:p>
      <w:pPr>
        <w:pBdr/>
        <w:spacing/>
        <w:ind/>
        <w:rPr>
          <w:b/>
          <w:bCs/>
          <w:highlight w:val="none"/>
          <w:lang w:val="en-IN"/>
        </w:rPr>
      </w:pPr>
      <w:r>
        <w:rPr>
          <w:b/>
          <w:bCs/>
          <w:highlight w:val="none"/>
          <w:lang w:val="en-IN"/>
        </w:rPr>
      </w:r>
      <w:r>
        <w:rPr>
          <w:b/>
          <w:bCs/>
          <w:highlight w:val="none"/>
          <w:lang w:val="en-IN"/>
        </w:rPr>
      </w:r>
    </w:p>
    <w:p>
      <w:pPr>
        <w:pBdr/>
        <w:spacing/>
        <w:ind/>
        <w:rPr>
          <w:b/>
          <w:bCs/>
          <w:highlight w:val="none"/>
          <w:lang w:val="en-IN"/>
        </w:rPr>
      </w:pPr>
      <w:r>
        <w:rPr>
          <w:b/>
          <w:bCs/>
          <w:highlight w:val="none"/>
          <w:lang w:val="en-IN"/>
        </w:rPr>
      </w:r>
      <w:r>
        <w:rPr>
          <w:rFonts w:ascii="Calibri" w:hAnsi="Calibri"/>
          <w:b/>
          <w:color w:val="003391"/>
          <w:sz w:val="30"/>
        </w:rPr>
        <w:t xml:space="preserve">IRDAI Rules </w:t>
      </w:r>
      <w:r/>
      <w:r>
        <w:rPr>
          <w:b/>
          <w:bCs/>
          <w:highlight w:val="none"/>
          <w:lang w:val="en-IN"/>
        </w:rPr>
      </w:r>
      <w:r>
        <w:rPr>
          <w:b/>
          <w:bCs/>
          <w:highlight w:val="none"/>
          <w:lang w:val="en-IN"/>
        </w:rPr>
      </w:r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If the Life Assured suffers Total Permanent Disability due to an accident, higher of ATPD Sum Assured or Guaranteed Benefit will be paid.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The Death Benefit payable will be the higher of Prevailing Sum Assured or Regular Premium Fund Value.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The Death Benefit payable will be the higher of Top-up Premium Fund Value or Top-up Premium Sum Assured.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The Death Benefit shall not be less than 105% of Total Premiums Paid including Top-Up premiums.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In addition to Death Benefit, in case of accidental death, higher of ADB Sum Assured or Guaranteed Benefit will be paid.</w:t>
      </w:r>
      <w:r/>
    </w:p>
    <w:p>
      <w:pPr>
        <w:pBdr/>
        <w:spacing/>
        <w:ind/>
        <w:rPr>
          <w:b/>
          <w:bCs/>
          <w:highlight w:val="none"/>
          <w:lang w:val="en-IN"/>
        </w:rPr>
      </w:pPr>
      <w:r>
        <w:rPr>
          <w:b/>
          <w:bCs/>
          <w:highlight w:val="none"/>
          <w:lang w:val="en-IN"/>
        </w:rPr>
      </w:r>
      <w:r>
        <w:rPr>
          <w:rFonts w:ascii="Calibri" w:hAnsi="Calibri"/>
          <w:b w:val="0"/>
          <w:i w:val="0"/>
          <w:color w:val="1a1a1a"/>
          <w:sz w:val="18"/>
          <w:highlight w:val="none"/>
        </w:rPr>
        <w:t xml:space="preserve">Child insurance plans must pay a death benefit to the family in the event of the </w:t>
      </w:r>
      <w:r>
        <w:rPr>
          <w:rFonts w:ascii="Calibri" w:hAnsi="Calibri"/>
          <w:b w:val="0"/>
          <w:i w:val="0"/>
          <w:color w:val="1a1a1a"/>
          <w:sz w:val="18"/>
          <w:highlight w:val="none"/>
          <w:lang w:val="en-IN"/>
        </w:rPr>
        <w:t xml:space="preserve">life assured</w:t>
      </w:r>
      <w:r>
        <w:rPr>
          <w:rFonts w:ascii="Calibri" w:hAnsi="Calibri"/>
          <w:b w:val="0"/>
          <w:i w:val="0"/>
          <w:color w:val="1a1a1a"/>
          <w:sz w:val="18"/>
          <w:highlight w:val="none"/>
        </w:rPr>
        <w:t xml:space="preserve">'s</w:t>
      </w:r>
      <w:r>
        <w:rPr>
          <w:rFonts w:ascii="Calibri" w:hAnsi="Calibri"/>
          <w:b w:val="0"/>
          <w:i w:val="0"/>
          <w:color w:val="1a1a1a"/>
          <w:sz w:val="18"/>
          <w:highlight w:val="none"/>
          <w:lang w:val="en-IN"/>
        </w:rPr>
        <w:t xml:space="preserve">(child)</w:t>
      </w:r>
      <w:r>
        <w:rPr>
          <w:rFonts w:ascii="Calibri" w:hAnsi="Calibri"/>
          <w:b w:val="0"/>
          <w:i w:val="0"/>
          <w:color w:val="1a1a1a"/>
          <w:sz w:val="18"/>
          <w:highlight w:val="none"/>
        </w:rPr>
        <w:t xml:space="preserve"> death</w:t>
      </w:r>
      <w:r>
        <w:rPr>
          <w:rFonts w:ascii="Calibri" w:hAnsi="Calibri"/>
          <w:b w:val="0"/>
          <w:i w:val="0"/>
          <w:color w:val="1a1a1a"/>
          <w:sz w:val="18"/>
          <w:highlight w:val="none"/>
        </w:rPr>
        <w:t xml:space="preserve">.</w:t>
      </w:r>
      <w:r>
        <w:rPr>
          <w:b/>
          <w:bCs/>
          <w:highlight w:val="none"/>
          <w:lang w:val="en-IN"/>
        </w:rPr>
      </w:r>
      <w:r>
        <w:rPr>
          <w:b/>
          <w:bCs/>
          <w:highlight w:val="none"/>
          <w:lang w:val="en-IN"/>
        </w:rPr>
      </w:r>
    </w:p>
    <w:p>
      <w:pPr>
        <w:pBdr/>
        <w:spacing/>
        <w:ind/>
        <w:rPr>
          <w:b/>
          <w:bCs/>
          <w:highlight w:val="none"/>
          <w:lang w:val="en-IN"/>
        </w:rPr>
      </w:pPr>
      <w:r>
        <w:rPr>
          <w:b/>
          <w:bCs/>
          <w:highlight w:val="none"/>
          <w:lang w:val="en-IN"/>
        </w:rPr>
      </w:r>
      <w:r>
        <w:rPr>
          <w:rFonts w:ascii="Calibri" w:hAnsi="Calibri"/>
          <w:b w:val="0"/>
          <w:i w:val="0"/>
          <w:color w:val="1a1a1a"/>
          <w:sz w:val="18"/>
          <w:highlight w:val="none"/>
        </w:rPr>
        <w:t xml:space="preserve">Child insurance plans must continue with the policy till maturity with a waiver of premium after the </w:t>
      </w:r>
      <w:r>
        <w:rPr>
          <w:rFonts w:ascii="Calibri" w:hAnsi="Calibri"/>
          <w:b w:val="0"/>
          <w:i w:val="0"/>
          <w:color w:val="1a1a1a"/>
          <w:sz w:val="18"/>
          <w:highlight w:val="none"/>
          <w:lang w:val="en-IN"/>
        </w:rPr>
        <w:t xml:space="preserve">life assured</w:t>
      </w:r>
      <w:r>
        <w:rPr>
          <w:rFonts w:ascii="Calibri" w:hAnsi="Calibri"/>
          <w:b w:val="0"/>
          <w:i w:val="0"/>
          <w:color w:val="1a1a1a"/>
          <w:sz w:val="18"/>
          <w:highlight w:val="none"/>
        </w:rPr>
        <w:t xml:space="preserve"> death</w:t>
      </w:r>
      <w:r>
        <w:rPr>
          <w:b/>
          <w:bCs/>
          <w:highlight w:val="none"/>
          <w:lang w:val="en-IN"/>
        </w:rPr>
        <w:t xml:space="preserve"> </w:t>
      </w:r>
      <w:r>
        <w:rPr>
          <w:highlight w:val="none"/>
        </w:rPr>
      </w:r>
      <w:r>
        <w:rPr>
          <w:b/>
          <w:bCs/>
          <w:highlight w:val="none"/>
          <w:lang w:val="en-IN"/>
        </w:rPr>
      </w:r>
    </w:p>
    <w:p>
      <w:pPr>
        <w:pBdr/>
        <w:spacing/>
        <w:ind/>
        <w:rPr>
          <w:rFonts w:ascii="Calibri" w:hAnsi="Calibri"/>
          <w:b w:val="0"/>
          <w:bCs w:val="0"/>
          <w:i w:val="0"/>
          <w:color w:val="1a1a1a"/>
          <w:sz w:val="18"/>
          <w:szCs w:val="18"/>
          <w:highlight w:val="none"/>
        </w:rPr>
      </w:pPr>
      <w:r>
        <w:rPr>
          <w:rFonts w:ascii="Calibri" w:hAnsi="Calibri"/>
          <w:b w:val="0"/>
          <w:i w:val="0"/>
          <w:color w:val="1a1a1a"/>
          <w:sz w:val="18"/>
        </w:rPr>
        <w:t xml:space="preserve">Past performance disclaimers are required for ULIPs.</w:t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Marketing materials must include the IRDAI registration number.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Append standard terms &amp; conditions and product disclaimers.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Include standard risk disclosures for market-linked products (ULIPs).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  <w:highlight w:val="none"/>
        </w:rPr>
      </w:r>
      <w:r>
        <w:rPr>
          <w:rFonts w:ascii="Calibri" w:hAnsi="Calibri"/>
          <w:b w:val="0"/>
          <w:i w:val="0"/>
          <w:color w:val="1a1a1a"/>
          <w:sz w:val="18"/>
        </w:rPr>
        <w:t xml:space="preserve">Maturity, surrender, and death benefit terms must be defined clearly</w:t>
      </w:r>
      <w:r/>
      <w:r>
        <w:rPr>
          <w:rFonts w:ascii="Calibri" w:hAnsi="Calibri"/>
          <w:b w:val="0"/>
          <w:i w:val="0"/>
          <w:color w:val="1a1a1a"/>
          <w:sz w:val="18"/>
          <w:highlight w:val="none"/>
        </w:rPr>
      </w:r>
      <w:r>
        <w:rPr>
          <w:rFonts w:ascii="Calibri" w:hAnsi="Calibri"/>
          <w:b w:val="0"/>
          <w:i w:val="0"/>
          <w:color w:val="1a1a1a"/>
          <w:sz w:val="18"/>
          <w:highlight w:val="none"/>
        </w:rPr>
      </w:r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Avoid misleading or absolute claims (e.g., 'always', 'best', 'cheapest').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Mis-selling: advertisements must not target customers above age 6</w:t>
      </w:r>
      <w:r>
        <w:rPr>
          <w:rFonts w:ascii="Calibri" w:hAnsi="Calibri"/>
          <w:b w:val="0"/>
          <w:i w:val="0"/>
          <w:color w:val="1a1a1a"/>
          <w:sz w:val="18"/>
          <w:lang w:val="en-IN"/>
        </w:rPr>
        <w:t xml:space="preserve">5</w:t>
      </w:r>
      <w:r>
        <w:rPr>
          <w:rFonts w:ascii="Calibri" w:hAnsi="Calibri"/>
          <w:b w:val="0"/>
          <w:i w:val="0"/>
          <w:color w:val="1a1a1a"/>
          <w:sz w:val="18"/>
        </w:rPr>
        <w:t xml:space="preserve"> with long-term ULIPs without explicit suitability disclaimer.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Use of the term 'guaranteed return' is permitted only for traditional plans with explicit guarantees</w:t>
      </w:r>
      <w:r>
        <w:rPr>
          <w:rFonts w:ascii="Calibri" w:hAnsi="Calibri"/>
          <w:b w:val="0"/>
          <w:i w:val="0"/>
          <w:color w:val="1a1a1a"/>
          <w:sz w:val="18"/>
          <w:lang w:val="en-IN"/>
        </w:rPr>
        <w:t xml:space="preserve">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Mandatory inclusion of statutory warning: 'For more details on risk factors, terms and conditions, please read the sales brochure carefully before concluding the sale.'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Insurance advertisements must include the IRDAI registration number of the insurer and contact details</w:t>
      </w:r>
      <w:r>
        <w:rPr>
          <w:rFonts w:ascii="Calibri" w:hAnsi="Calibri"/>
          <w:b w:val="0"/>
          <w:i w:val="0"/>
          <w:color w:val="1a1a1a"/>
          <w:sz w:val="18"/>
          <w:lang w:val="en-IN"/>
        </w:rPr>
        <w:t xml:space="preserve"> of the company 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All return projections in life-insurance advertisements must include the statutory disclaimer that returns are not guaranteed.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Market-linked products (ULIPs) must include standard risk disclosures.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Specify correct KYC and identity verification documents in term insurance policies.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Provide necessary risk warnings and IRDAI information in term insurance disclaimers and disclosures.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Distinguish between guaranteed and non-guaranteed benefits/bonuses.</w:t>
      </w:r>
      <w:r/>
      <w:r/>
    </w:p>
    <w:p>
      <w:pPr>
        <w:pBdr/>
        <w:spacing/>
        <w:ind/>
        <w:rPr>
          <w:highlight w:val="none"/>
        </w:rPr>
      </w:pPr>
      <w:r>
        <w:rPr>
          <w:rFonts w:ascii="Calibri" w:hAnsi="Calibri"/>
          <w:b w:val="0"/>
          <w:i w:val="0"/>
          <w:color w:val="1a1a1a"/>
          <w:sz w:val="18"/>
        </w:rPr>
        <w:t xml:space="preserve">No person shall allow or offer rebates except as permitted by insurer’s published prospectuses or tables.</w:t>
      </w:r>
      <w:r/>
      <w:r/>
    </w:p>
    <w:p>
      <w:pPr>
        <w:pBdr/>
        <w:spacing/>
        <w:ind/>
        <w:rPr>
          <w:highlight w:val="white"/>
        </w:rPr>
      </w:pPr>
      <w:r>
        <w:rPr>
          <w:highlight w:val="white"/>
        </w:rPr>
      </w:r>
      <w:r>
        <w:rPr>
          <w:rFonts w:ascii="Calibri" w:hAnsi="Calibri"/>
          <w:b w:val="0"/>
          <w:i w:val="0"/>
          <w:color w:val="1a1a1a"/>
          <w:sz w:val="18"/>
          <w:highlight w:val="white"/>
        </w:rPr>
        <w:t xml:space="preserve">Fraud &amp; misstatement will be dealt with as per provisions of Section 45 of Insurance Act 1938</w:t>
      </w:r>
      <w:r>
        <w:rPr>
          <w:highlight w:val="white"/>
        </w:rPr>
      </w:r>
      <w:r>
        <w:rPr>
          <w:highlight w:val="white"/>
        </w:rPr>
      </w:r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Superlatives like best or cheapest in marketing materials require substantiation.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No person shall allow or offer rebates except as permitted by insurer’s published prospectuses or tables.</w:t>
      </w:r>
      <w:r/>
      <w:r/>
    </w:p>
    <w:p>
      <w:pPr>
        <w:pBdr/>
        <w:spacing/>
        <w:ind/>
        <w:rPr>
          <w:highlight w:val="none"/>
        </w:rPr>
      </w:pPr>
      <w:r>
        <w:rPr>
          <w:rFonts w:ascii="Calibri" w:hAnsi="Calibri"/>
          <w:b w:val="0"/>
          <w:i w:val="0"/>
          <w:color w:val="1a1a1a"/>
          <w:sz w:val="18"/>
        </w:rPr>
        <w:t xml:space="preserve">Ensure consistency between original drafts and final PDF outputs.</w:t>
      </w:r>
      <w:r/>
      <w:r/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white"/>
        </w:rPr>
      </w:r>
      <w:r>
        <w:rPr>
          <w:rFonts w:ascii="Calibri" w:hAnsi="Calibri"/>
          <w:b w:val="0"/>
          <w:i w:val="0"/>
          <w:color w:val="000000" w:themeColor="text1"/>
          <w:sz w:val="18"/>
          <w:highlight w:val="white"/>
        </w:rPr>
        <w:t xml:space="preserve">Riders (Critical Illness, Accidental Death, Waiver of Premium) must list inclusions and exclusions in marketing material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  <w:highlight w:val="white"/>
        </w:rPr>
      </w:r>
      <w:r>
        <w:rPr>
          <w:rFonts w:ascii="Calibri" w:hAnsi="Calibri"/>
          <w:b w:val="0"/>
          <w:i w:val="0"/>
          <w:color w:val="1a1a1a"/>
          <w:sz w:val="18"/>
          <w:highlight w:val="white"/>
        </w:rPr>
        <w:t xml:space="preserve">Comparative statements with other insurers must be substantiated and not misleading</w:t>
      </w:r>
      <w:r>
        <w:rPr>
          <w:color w:val="000000" w:themeColor="text1"/>
          <w:highlight w:val="white"/>
        </w:rPr>
      </w:r>
      <w:r>
        <w:rPr>
          <w:color w:val="000000" w:themeColor="text1"/>
          <w:highlight w:val="white"/>
        </w:rPr>
      </w:r>
    </w:p>
    <w:p>
      <w:pPr>
        <w:pBdr/>
        <w:spacing/>
        <w:ind/>
        <w:rPr>
          <w:rFonts w:ascii="Calibri" w:hAnsi="Calibri" w:eastAsia="Calibri" w:cs="Calibri"/>
          <w:color w:val="000000" w:themeColor="text1"/>
          <w:sz w:val="18"/>
          <w:szCs w:val="18"/>
          <w:highlight w:val="none"/>
          <w:lang w:val="en-IN"/>
        </w:rPr>
      </w:pPr>
      <w:r>
        <w:rPr>
          <w:color w:val="000000" w:themeColor="text1"/>
          <w:highlight w:val="white"/>
        </w:rPr>
      </w:r>
      <w:r>
        <w:rPr>
          <w:rFonts w:ascii="Calibri" w:hAnsi="Calibri"/>
          <w:b w:val="0"/>
          <w:i w:val="0"/>
          <w:color w:val="1a1a1a"/>
          <w:sz w:val="18"/>
          <w:highlight w:val="white"/>
        </w:rPr>
        <w:t xml:space="preserve">Claim-settlement ratio claims must cite the most recent IRDAI public disclosure year and exact percentage</w:t>
      </w:r>
      <w:r>
        <w:rPr>
          <w:color w:val="000000" w:themeColor="text1"/>
          <w:highlight w:val="none"/>
          <w:lang w:val="en-IN"/>
        </w:rPr>
        <w:t xml:space="preserve"> </w:t>
      </w:r>
      <w:r>
        <w:rPr>
          <w:rFonts w:ascii="Calibri" w:hAnsi="Calibri" w:eastAsia="Calibri" w:cs="Calibri"/>
          <w:color w:val="000000" w:themeColor="text1"/>
          <w:sz w:val="18"/>
          <w:szCs w:val="18"/>
          <w:highlight w:val="none"/>
          <w:lang w:val="en-IN"/>
        </w:rPr>
        <w:t xml:space="preserve">alon with financial year.</w:t>
      </w:r>
      <w:r>
        <w:rPr>
          <w:rFonts w:ascii="Calibri" w:hAnsi="Calibri" w:eastAsia="Calibri" w:cs="Calibri"/>
          <w:color w:val="000000" w:themeColor="text1"/>
          <w:sz w:val="18"/>
          <w:szCs w:val="18"/>
          <w:highlight w:val="white"/>
          <w:lang w:val="en-IN"/>
        </w:rPr>
      </w:r>
      <w:r>
        <w:rPr>
          <w:rFonts w:ascii="Calibri" w:hAnsi="Calibri" w:cs="Calibri"/>
          <w:color w:val="000000" w:themeColor="text1"/>
          <w:sz w:val="18"/>
          <w:szCs w:val="18"/>
          <w:highlight w:val="white"/>
        </w:rPr>
      </w:r>
    </w:p>
    <w:p>
      <w:pPr>
        <w:pBdr/>
        <w:spacing/>
        <w:ind/>
        <w:rPr>
          <w:rFonts w:ascii="Calibri" w:hAnsi="Calibri" w:cs="Calibri"/>
          <w:color w:val="000000" w:themeColor="text1"/>
          <w:sz w:val="18"/>
          <w:szCs w:val="18"/>
          <w:highlight w:val="white"/>
        </w:rPr>
      </w:pPr>
      <w:r>
        <w:rPr>
          <w:rFonts w:ascii="Calibri" w:hAnsi="Calibri" w:eastAsia="Calibri" w:cs="Calibri"/>
          <w:color w:val="000000" w:themeColor="text1"/>
          <w:sz w:val="18"/>
          <w:szCs w:val="18"/>
          <w:highlight w:val="none"/>
          <w:lang w:val="en-IN"/>
        </w:rPr>
      </w:r>
      <w:r>
        <w:rPr>
          <w:rFonts w:ascii="Calibri" w:hAnsi="Calibri"/>
          <w:b w:val="0"/>
          <w:i w:val="0"/>
          <w:color w:val="1a1a1a"/>
          <w:sz w:val="18"/>
          <w:highlight w:val="white"/>
        </w:rPr>
        <w:t xml:space="preserve">Policy term, premium payment term, and lock-in must be clearly stated for </w:t>
      </w:r>
      <w:r>
        <w:rPr>
          <w:rFonts w:ascii="Calibri" w:hAnsi="Calibri"/>
          <w:b w:val="0"/>
          <w:i w:val="0"/>
          <w:color w:val="1a1a1a"/>
          <w:sz w:val="18"/>
          <w:highlight w:val="white"/>
          <w:lang w:val="en-IN"/>
        </w:rPr>
        <w:t xml:space="preserve">a</w:t>
      </w:r>
      <w:r>
        <w:rPr>
          <w:rFonts w:ascii="Calibri" w:hAnsi="Calibri"/>
          <w:b w:val="0"/>
          <w:i w:val="0"/>
          <w:color w:val="1a1a1a"/>
          <w:sz w:val="18"/>
          <w:highlight w:val="white"/>
          <w:lang w:val="en-IN"/>
        </w:rPr>
        <w:t xml:space="preserve">l</w:t>
      </w:r>
      <w:r>
        <w:rPr>
          <w:rFonts w:ascii="Calibri" w:hAnsi="Calibri"/>
          <w:b w:val="0"/>
          <w:i w:val="0"/>
          <w:color w:val="1a1a1a"/>
          <w:sz w:val="18"/>
          <w:highlight w:val="none"/>
          <w:lang w:val="en-IN"/>
        </w:rPr>
        <w:t xml:space="preserve">l products</w:t>
      </w:r>
      <w:r>
        <w:rPr>
          <w:rFonts w:ascii="Calibri" w:hAnsi="Calibri" w:eastAsia="Calibri" w:cs="Calibri"/>
          <w:color w:val="000000" w:themeColor="text1"/>
          <w:sz w:val="18"/>
          <w:szCs w:val="18"/>
          <w:highlight w:val="none"/>
          <w:lang w:val="en-IN"/>
        </w:rPr>
      </w:r>
      <w:r>
        <w:rPr>
          <w:rFonts w:ascii="Calibri" w:hAnsi="Calibri" w:eastAsia="Calibri" w:cs="Calibri"/>
          <w:color w:val="000000" w:themeColor="text1"/>
          <w:sz w:val="18"/>
          <w:szCs w:val="18"/>
          <w:highlight w:val="none"/>
          <w:lang w:val="en-IN"/>
        </w:rPr>
      </w:r>
    </w:p>
    <w:p>
      <w:pPr>
        <w:pBdr/>
        <w:spacing/>
        <w:ind/>
        <w:rPr>
          <w:b/>
          <w:bCs/>
          <w:highlight w:val="none"/>
          <w:lang w:val="en-IN"/>
        </w:rPr>
      </w:pPr>
      <w:r>
        <w:rPr>
          <w:b/>
          <w:bCs/>
          <w:highlight w:val="none"/>
          <w:lang w:val="en-IN"/>
        </w:rPr>
      </w:r>
      <w:r>
        <w:rPr>
          <w:rFonts w:ascii="Calibri" w:hAnsi="Calibri"/>
          <w:b w:val="0"/>
          <w:i w:val="0"/>
          <w:color w:val="1a1a1a"/>
          <w:sz w:val="18"/>
        </w:rPr>
        <w:t xml:space="preserve">Pension and annuity products: tax treatment on maturity must be disclosed</w:t>
      </w:r>
      <w:r/>
      <w:r>
        <w:rPr>
          <w:b/>
          <w:bCs/>
          <w:highlight w:val="none"/>
          <w:lang w:val="en-IN"/>
        </w:rPr>
      </w:r>
      <w:r>
        <w:rPr>
          <w:b/>
          <w:bCs/>
          <w:highlight w:val="none"/>
          <w:lang w:val="en-IN"/>
        </w:rPr>
      </w:r>
    </w:p>
    <w:p>
      <w:pPr>
        <w:pBdr/>
        <w:spacing/>
        <w:ind/>
        <w:rPr>
          <w:b/>
          <w:bCs/>
          <w:highlight w:val="none"/>
          <w:lang w:val="en-IN"/>
        </w:rPr>
      </w:pPr>
      <w:r>
        <w:rPr>
          <w:b/>
          <w:bCs/>
          <w:highlight w:val="none"/>
          <w:lang w:val="en-IN"/>
        </w:rPr>
      </w:r>
      <w:r>
        <w:rPr>
          <w:rFonts w:ascii="Calibri" w:hAnsi="Calibri"/>
          <w:b w:val="0"/>
          <w:i w:val="0"/>
          <w:color w:val="1a1a1a"/>
          <w:sz w:val="18"/>
        </w:rPr>
        <w:t xml:space="preserve">Ensure tax implications are clearly stated where appropriate</w:t>
      </w:r>
      <w:r/>
      <w:r>
        <w:rPr>
          <w:b/>
          <w:bCs/>
          <w:highlight w:val="none"/>
          <w:lang w:val="en-IN"/>
        </w:rPr>
      </w:r>
      <w:r>
        <w:rPr>
          <w:b/>
          <w:bCs/>
          <w:highlight w:val="none"/>
          <w:lang w:val="en-IN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18"/>
          <w:szCs w:val="18"/>
          <w:highlight w:val="none"/>
          <w:lang w:val="en-IN"/>
        </w:rPr>
      </w:pPr>
      <w:r>
        <w:rPr>
          <w:b/>
          <w:bCs/>
          <w:highlight w:val="none"/>
          <w:lang w:val="en-IN"/>
        </w:rPr>
      </w:r>
      <w:r>
        <w:rPr>
          <w:rFonts w:ascii="Calibri" w:hAnsi="Calibri"/>
          <w:b w:val="0"/>
          <w:i w:val="0"/>
          <w:color w:val="1a1a1a"/>
          <w:sz w:val="18"/>
        </w:rPr>
        <w:t xml:space="preserve">State clearly that tax laws are subject to chang</w:t>
      </w:r>
      <w:r>
        <w:rPr>
          <w:rFonts w:ascii="Calibri" w:hAnsi="Calibri" w:eastAsia="Calibri" w:cs="Calibri"/>
          <w:b w:val="0"/>
          <w:bCs w:val="0"/>
          <w:sz w:val="18"/>
          <w:szCs w:val="18"/>
          <w:highlight w:val="none"/>
          <w:lang w:val="en-IN"/>
        </w:rPr>
        <w:t xml:space="preserve">e.</w:t>
      </w:r>
      <w:r>
        <w:rPr>
          <w:rFonts w:ascii="Calibri" w:hAnsi="Calibri" w:cs="Calibri"/>
          <w:b w:val="0"/>
          <w:bCs w:val="0"/>
          <w:sz w:val="18"/>
          <w:szCs w:val="18"/>
          <w:highlight w:val="none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18"/>
          <w:szCs w:val="18"/>
          <w:highlight w:val="none"/>
          <w:lang w:val="en-IN"/>
        </w:rPr>
      </w:pPr>
      <w:r>
        <w:rPr>
          <w:rFonts w:ascii="Calibri" w:hAnsi="Calibri" w:eastAsia="Calibri" w:cs="Calibri"/>
          <w:b w:val="0"/>
          <w:bCs w:val="0"/>
          <w:sz w:val="18"/>
          <w:szCs w:val="18"/>
          <w:highlight w:val="white"/>
          <w:lang w:val="en-IN"/>
        </w:rPr>
      </w:r>
      <w:r>
        <w:rPr>
          <w:rFonts w:ascii="Calibri" w:hAnsi="Calibri"/>
          <w:b w:val="0"/>
          <w:i w:val="0"/>
          <w:color w:val="1a1a1a"/>
          <w:sz w:val="18"/>
          <w:highlight w:val="white"/>
        </w:rPr>
        <w:t xml:space="preserve">Verify GST applicability and rate details, such as </w:t>
      </w:r>
      <w:r>
        <w:rPr>
          <w:rFonts w:ascii="Calibri" w:hAnsi="Calibri"/>
          <w:b w:val="0"/>
          <w:i w:val="0"/>
          <w:color w:val="1a1a1a"/>
          <w:sz w:val="18"/>
          <w:highlight w:val="white"/>
          <w:lang w:val="en-IN"/>
        </w:rPr>
        <w:t xml:space="preserve">0</w:t>
      </w:r>
      <w:r>
        <w:rPr>
          <w:rFonts w:ascii="Calibri" w:hAnsi="Calibri"/>
          <w:b w:val="0"/>
          <w:i w:val="0"/>
          <w:color w:val="1a1a1a"/>
          <w:sz w:val="18"/>
          <w:highlight w:val="white"/>
        </w:rPr>
        <w:t xml:space="preserve">% GST</w:t>
      </w:r>
      <w:r>
        <w:rPr>
          <w:rFonts w:ascii="Calibri" w:hAnsi="Calibri" w:eastAsia="Calibri" w:cs="Calibri"/>
          <w:b w:val="0"/>
          <w:bCs w:val="0"/>
          <w:sz w:val="18"/>
          <w:szCs w:val="18"/>
          <w:highlight w:val="none"/>
          <w:lang w:val="en-IN"/>
        </w:rPr>
        <w:t xml:space="preserve">.</w:t>
      </w:r>
      <w:r>
        <w:rPr>
          <w:rFonts w:ascii="Calibri" w:hAnsi="Calibri" w:eastAsia="Calibri" w:cs="Calibri"/>
          <w:b w:val="0"/>
          <w:bCs w:val="0"/>
          <w:sz w:val="18"/>
          <w:szCs w:val="18"/>
          <w:highlight w:val="white"/>
          <w:lang w:val="en-IN"/>
        </w:rPr>
      </w:r>
      <w:r>
        <w:rPr>
          <w:rFonts w:ascii="Calibri" w:hAnsi="Calibri" w:eastAsia="Calibri" w:cs="Calibri"/>
          <w:b w:val="0"/>
          <w:bCs w:val="0"/>
          <w:sz w:val="18"/>
          <w:szCs w:val="18"/>
          <w:highlight w:val="white"/>
          <w:lang w:val="en-IN"/>
        </w:rPr>
      </w:r>
    </w:p>
    <w:p>
      <w:pPr>
        <w:pBdr/>
        <w:spacing/>
        <w:ind/>
        <w:rPr>
          <w:rFonts w:ascii="Calibri" w:hAnsi="Calibri" w:eastAsia="Calibri" w:cs="Calibri"/>
          <w:b w:val="0"/>
          <w:bCs w:val="0"/>
          <w:sz w:val="18"/>
          <w:szCs w:val="18"/>
          <w:highlight w:val="none"/>
          <w:lang w:val="en-IN"/>
        </w:rPr>
      </w:pPr>
      <w:r>
        <w:rPr>
          <w:rFonts w:ascii="Calibri" w:hAnsi="Calibri" w:eastAsia="Calibri" w:cs="Calibri"/>
          <w:b w:val="0"/>
          <w:bCs w:val="0"/>
          <w:sz w:val="18"/>
          <w:szCs w:val="18"/>
          <w:highlight w:val="none"/>
          <w:lang w:val="en-IN"/>
        </w:rPr>
      </w:r>
      <w:r>
        <w:rPr>
          <w:rFonts w:ascii="Calibri" w:hAnsi="Calibri"/>
          <w:b w:val="0"/>
          <w:i w:val="0"/>
          <w:color w:val="1a1a1a"/>
          <w:sz w:val="18"/>
        </w:rPr>
        <w:t xml:space="preserve">The Entry Age for the policy is between 18 and 65 years</w:t>
      </w:r>
      <w:r>
        <w:rPr>
          <w:rFonts w:ascii="Calibri" w:hAnsi="Calibri"/>
          <w:b w:val="0"/>
          <w:i w:val="0"/>
          <w:color w:val="1a1a1a"/>
          <w:sz w:val="18"/>
          <w:lang w:val="en-IN"/>
        </w:rPr>
        <w:t xml:space="preserve">, according to product</w:t>
      </w:r>
      <w:r>
        <w:rPr>
          <w:rFonts w:ascii="Calibri" w:hAnsi="Calibri" w:eastAsia="Calibri" w:cs="Calibri"/>
          <w:b w:val="0"/>
          <w:bCs w:val="0"/>
          <w:sz w:val="18"/>
          <w:szCs w:val="18"/>
          <w:highlight w:val="none"/>
          <w:lang w:val="en-IN"/>
        </w:rPr>
      </w:r>
      <w:r>
        <w:rPr>
          <w:rFonts w:ascii="Calibri" w:hAnsi="Calibri" w:eastAsia="Calibri" w:cs="Calibri"/>
          <w:b w:val="0"/>
          <w:bCs w:val="0"/>
          <w:sz w:val="18"/>
          <w:szCs w:val="18"/>
          <w:highlight w:val="none"/>
          <w:lang w:val="en-IN"/>
        </w:rPr>
      </w:r>
    </w:p>
    <w:p>
      <w:pPr>
        <w:pBdr/>
        <w:spacing/>
        <w:ind/>
        <w:rPr>
          <w:rFonts w:ascii="Calibri" w:hAnsi="Calibri" w:cs="Calibri"/>
          <w:b w:val="0"/>
          <w:bCs w:val="0"/>
          <w:sz w:val="18"/>
          <w:szCs w:val="18"/>
          <w:highlight w:val="white"/>
          <w:lang w:val="en-IN"/>
        </w:rPr>
      </w:pPr>
      <w:r>
        <w:rPr>
          <w:rFonts w:ascii="Calibri" w:hAnsi="Calibri" w:eastAsia="Calibri" w:cs="Calibri"/>
          <w:b w:val="0"/>
          <w:bCs w:val="0"/>
          <w:sz w:val="18"/>
          <w:szCs w:val="18"/>
          <w:highlight w:val="none"/>
          <w:lang w:val="en-IN"/>
        </w:rPr>
      </w:r>
      <w:r>
        <w:rPr>
          <w:rFonts w:ascii="Calibri" w:hAnsi="Calibri"/>
          <w:b w:val="0"/>
          <w:i w:val="0"/>
          <w:color w:val="1a1a1a"/>
          <w:sz w:val="18"/>
        </w:rPr>
        <w:t xml:space="preserve">The Maturity Age for the policy is between 48 and 85 years</w:t>
      </w:r>
      <w:r>
        <w:rPr>
          <w:rFonts w:ascii="Calibri" w:hAnsi="Calibri"/>
          <w:b w:val="0"/>
          <w:i w:val="0"/>
          <w:color w:val="1a1a1a"/>
          <w:sz w:val="18"/>
          <w:lang w:val="en-IN"/>
        </w:rPr>
        <w:t xml:space="preserve">, according to product</w:t>
      </w:r>
      <w:r>
        <w:rPr>
          <w:rFonts w:ascii="Calibri" w:hAnsi="Calibri" w:eastAsia="Calibri" w:cs="Calibri"/>
          <w:b w:val="0"/>
          <w:bCs w:val="0"/>
          <w:sz w:val="18"/>
          <w:szCs w:val="18"/>
          <w:highlight w:val="none"/>
          <w:lang w:val="en-IN"/>
        </w:rPr>
      </w:r>
      <w:r>
        <w:rPr>
          <w:rFonts w:ascii="Calibri" w:hAnsi="Calibri" w:eastAsia="Calibri" w:cs="Calibri"/>
          <w:b w:val="0"/>
          <w:bCs w:val="0"/>
          <w:sz w:val="18"/>
          <w:szCs w:val="18"/>
          <w:highlight w:val="none"/>
          <w:lang w:val="en-IN"/>
        </w:rPr>
      </w:r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PPF deposits are locked in for 7 years, after which partial withdrawals are allowed.</w:t>
      </w:r>
      <w:r/>
      <w:r/>
    </w:p>
    <w:p>
      <w:pPr>
        <w:pBdr/>
        <w:spacing/>
        <w:ind/>
        <w:rPr>
          <w:highlight w:val="none"/>
        </w:rPr>
      </w:pPr>
      <w:r>
        <w:rPr>
          <w:b/>
          <w:bCs/>
          <w:highlight w:val="none"/>
          <w:lang w:val="en-IN"/>
        </w:rPr>
      </w:r>
      <w:r>
        <w:rPr>
          <w:rFonts w:ascii="Calibri" w:hAnsi="Calibri"/>
          <w:b w:val="0"/>
          <w:i w:val="0"/>
          <w:color w:val="1a1a1a"/>
          <w:sz w:val="18"/>
        </w:rPr>
        <w:t xml:space="preserve">Public Provident Fund (PPF) investments are limited to Rs 1.5 lakhs per year.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Child insurance plans must pay a maturity benefit to the child once the policy expires.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Provide authoritative sources and active URLs for external claims.</w: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Calibri" w:hAnsi="Calibri"/>
          <w:b w:val="0"/>
          <w:i w:val="0"/>
          <w:color w:val="1a1a1a"/>
          <w:sz w:val="18"/>
        </w:rPr>
        <w:t xml:space="preserve">Customers must be guided clearly on registration, forms, and validation requirements for KYC and onboarding</w:t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Guaranteed and non-guaranteed benefits/bonuses must be distinguished clearly in product descriptions.</w: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Calibri" w:hAnsi="Calibri"/>
          <w:b w:val="0"/>
          <w:i w:val="0"/>
          <w:color w:val="1a1a1a"/>
          <w:sz w:val="18"/>
        </w:rPr>
        <w:t xml:space="preserve">Rewrite content for clarity, simplicity, and active voice</w:t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Ensure draft edits, layout changes, and PDF publishing steps align with compliance guidelines.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Promotional emails/SMS must contain unsubscribe option per IRDAI distance-marketing guidelines.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Use of celebrities or testimonials in life-insurance ads must comply with ASCI norms and IRDAI advertisement regulations.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Insurance ombudsman details (toll-free, website) should be available in customer communications.</w:t>
      </w: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Calibri" w:hAnsi="Calibri"/>
          <w:b w:val="0"/>
          <w:i w:val="0"/>
          <w:color w:val="1a1a1a"/>
          <w:sz w:val="18"/>
        </w:rPr>
        <w:t xml:space="preserve">Misleading visuals: use of medical-emergency imagery without context is prohibited</w:t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Calibri" w:hAnsi="Calibri"/>
          <w:b w:val="0"/>
          <w:i w:val="0"/>
          <w:color w:val="1a1a1a"/>
          <w:sz w:val="18"/>
        </w:rPr>
        <w:t xml:space="preserve">Online insurance purchase flows must surface the policy bond download and email within 7 days.</w:t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Calibri" w:hAnsi="Calibri"/>
          <w:b w:val="0"/>
          <w:i w:val="0"/>
          <w:color w:val="1a1a1a"/>
          <w:sz w:val="18"/>
        </w:rPr>
        <w:t xml:space="preserve">Bonus declaration history claims must reference IRDAI-filed annual statements</w:t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Mortality charge structure must be disclosed for ULIP and term plans.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Suitability assessment outcome must be retained for products sold via tele-calling or online channels.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Section 45 of Insurance Act (claim rejection time bar) reference must appear in claim-related communications.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Group insurance ads must disclose that benefits cease on exit from the group.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Statistics and date-sensitive information must be verified</w:t>
      </w:r>
      <w:r>
        <w:rPr>
          <w:rFonts w:ascii="Calibri" w:hAnsi="Calibri"/>
          <w:b w:val="0"/>
          <w:i w:val="0"/>
          <w:color w:val="1a1a1a"/>
          <w:sz w:val="18"/>
          <w:lang w:val="en-IN"/>
        </w:rPr>
        <w:t xml:space="preserve"> with the external source links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All claims, awards, rankings, or ratings must have appropriate sources cited.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Clarify residency status guidelines (e.g., NRI/OCI/PIO) in term insurance policies.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Guide customers clearly on registration, forms, and validation requirements.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Rewrite content for clarity, simplicity, and active voice.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Maintain standard spelling, grammar, readability, and formatting styles.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Insurance education content (e.g., 'What is term insurance?') must distinguish editorial from promotional content.</w:t>
      </w: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rFonts w:ascii="Calibri" w:hAnsi="Calibri"/>
          <w:b/>
          <w:color w:val="003391"/>
          <w:sz w:val="30"/>
        </w:rPr>
        <w:t xml:space="preserve">SEBI Rules</w:t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Past-performance display must include the SEBI advisory: 'Past performance may or may not be sustained in future and is not an indicator of future returns.'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Mutual-fund-style return illustrations require SEBI's standard disclaimer: 'Mutual fund investments are subject to market risks; read all scheme-related documents carefully.'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Use of 'risk-free' or 'safe' for market-linked products is prohibited.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Equity-linked unit-fund advertisements must avoid implying guaranteed equity returns.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Standard risk disclosures for market-linked products (ULIPs) must be included.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The standard terms and conditions and product disclaimers must be appended.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Necessary risk warnings and IRDAI information must be provided.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Performance presented under 'illustration' must use the IRDAI-stipulated rates (4%/8%) for ULIP benefit illustrations.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Disclosure of expense ratio / fund management charge required when promoting investment performance.</w:t>
      </w:r>
      <w:r/>
      <w:r/>
    </w:p>
    <w:p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rFonts w:ascii="Calibri" w:hAnsi="Calibri"/>
          <w:b w:val="0"/>
          <w:i w:val="0"/>
          <w:color w:val="1a1a1a"/>
          <w:sz w:val="18"/>
        </w:rPr>
        <w:t xml:space="preserve">Capital protection plans must not be marketed without explicit disclosure of </w:t>
      </w:r>
      <w:r/>
      <w:r>
        <w:rPr>
          <w:highlight w:val="none"/>
          <w:lang w:val="en-IN"/>
        </w:rPr>
      </w:r>
      <w:r>
        <w:rPr>
          <w:rFonts w:ascii="Calibri" w:hAnsi="Calibri"/>
          <w:b w:val="0"/>
          <w:i w:val="0"/>
          <w:color w:val="1a1a1a"/>
          <w:sz w:val="18"/>
        </w:rPr>
        <w:t xml:space="preserve">capital-protection mechanism and term.</w:t>
      </w:r>
      <w:r/>
      <w:r>
        <w:rPr>
          <w:highlight w:val="none"/>
          <w:lang w:val="en-IN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Investment adviser identification: if content recommends action, it must clarify whether the author is SEBI-registered or not.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Systematic Investment Plan (SIP) investments must be made in a disciplined and regular manner.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Goal-based planning content must not project returns beyond conservative SEBI-aligned assumptions (typically 8-10% for equity, 4-6% for debt).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Currency-denominated investment claims must use ₹ INR throughout; converting to USD figures requires disclaimer.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SIP-style messaging for ULIPs must clarify ULIP-vs-mutual-fund differences (lock-in, charges, insurance component).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Guide customers clearly on registration, forms, and validation requirements</w:t>
      </w:r>
      <w:r>
        <w:rPr>
          <w:rFonts w:ascii="Calibri" w:hAnsi="Calibri"/>
          <w:b w:val="0"/>
          <w:i w:val="0"/>
          <w:color w:val="1a1a1a"/>
          <w:sz w:val="18"/>
          <w:lang w:val="en-IN"/>
        </w:rPr>
        <w:t xml:space="preserve"> </w:t>
      </w:r>
      <w:r>
        <w:rPr>
          <w:rFonts w:ascii="Calibri" w:hAnsi="Calibri"/>
          <w:b w:val="0"/>
          <w:i w:val="0"/>
          <w:color w:val="1a1a1a"/>
          <w:sz w:val="18"/>
        </w:rPr>
        <w:t xml:space="preserve">for KYC &amp; Onboarding</w:t>
      </w:r>
      <w:r>
        <w:rPr>
          <w:rFonts w:ascii="Calibri" w:hAnsi="Calibri"/>
          <w:b w:val="0"/>
          <w:i w:val="0"/>
          <w:color w:val="1a1a1a"/>
          <w:sz w:val="18"/>
          <w:lang w:val="en-IN"/>
        </w:rPr>
        <w:t xml:space="preserve"> </w:t>
      </w:r>
      <w:r/>
      <w:r>
        <w:rPr>
          <w:rFonts w:ascii="Calibri" w:hAnsi="Calibri"/>
          <w:b w:val="0"/>
          <w:i w:val="0"/>
          <w:color w:val="1a1a1a"/>
          <w:sz w:val="18"/>
          <w:lang w:val="en-IN"/>
        </w:rPr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Use of words 'risk-adjusted', 'alpha', 'sharpe' requires footnote definition for retail audience.</w:t>
      </w:r>
      <w:r/>
      <w:r/>
    </w:p>
    <w:p>
      <w:pPr>
        <w:pBdr/>
        <w:spacing/>
        <w:ind/>
        <w:rPr>
          <w:highlight w:val="none"/>
        </w:rPr>
      </w:pPr>
      <w:r>
        <w:rPr>
          <w:rFonts w:ascii="Calibri" w:hAnsi="Calibri"/>
          <w:b w:val="0"/>
          <w:i w:val="0"/>
          <w:color w:val="1a1a1a"/>
          <w:sz w:val="18"/>
        </w:rPr>
        <w:t xml:space="preserve">Clarify residency status guidelines (e.g., NRI/OCI/PIO)</w:t>
      </w:r>
      <w:r>
        <w:rPr>
          <w:rFonts w:ascii="Calibri" w:hAnsi="Calibri"/>
          <w:b w:val="0"/>
          <w:i w:val="0"/>
          <w:color w:val="1a1a1a"/>
          <w:sz w:val="18"/>
          <w:lang w:val="en-IN"/>
        </w:rPr>
        <w:t xml:space="preserve"> </w:t>
      </w: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highlight w:val="none"/>
        </w:rPr>
      </w:r>
      <w:r>
        <w:rPr>
          <w:rFonts w:ascii="Calibri" w:hAnsi="Calibri"/>
          <w:b/>
          <w:color w:val="003391"/>
          <w:sz w:val="30"/>
        </w:rPr>
        <w:t xml:space="preserve">Brand Rules</w:t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Brand guidelines for naming, logos, and trademarks must be maintained.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Prohibited superlatives without substantiation: 'best', 'No.1', 'leading', 'fastest growing', 'world-class'.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The brand name must appear as 'Bajaj Life Insurance</w:t>
      </w:r>
      <w:r>
        <w:rPr>
          <w:rFonts w:ascii="Calibri" w:hAnsi="Calibri"/>
          <w:b w:val="0"/>
          <w:i w:val="0"/>
          <w:color w:val="1a1a1a"/>
          <w:sz w:val="18"/>
          <w:lang w:val="en-IN"/>
        </w:rPr>
        <w:t xml:space="preserve"> Limited (formely known as Bajaj Allianz life insurance)</w:t>
      </w:r>
      <w:r>
        <w:rPr>
          <w:rFonts w:ascii="Calibri" w:hAnsi="Calibri"/>
          <w:b w:val="0"/>
          <w:i w:val="0"/>
          <w:color w:val="1a1a1a"/>
          <w:sz w:val="18"/>
        </w:rPr>
        <w:t xml:space="preserve">' in full at first mention; 'Bajaj Life' is acceptable thereafter. Never 'BALIC' in customer-facing copy.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Award claims (e.g., 'BFSI Insurer of the Year') must cite the awarding body and year.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Tone must be confident-yet-warm; avoid fear-based language ('what if you die', 'leave family stranded').</w:t>
      </w:r>
      <w:r/>
      <w:r/>
    </w:p>
    <w:p>
      <w:pPr>
        <w:pBdr/>
        <w:spacing/>
        <w:ind/>
        <w:rPr>
          <w:highlight w:val="none"/>
          <w:lang w:val="en-IN"/>
        </w:rPr>
      </w:pPr>
      <w:r>
        <w:rPr>
          <w:highlight w:val="none"/>
          <w:lang w:val="en-IN"/>
        </w:rPr>
      </w:r>
      <w:r>
        <w:rPr>
          <w:rFonts w:ascii="Calibri" w:hAnsi="Calibri"/>
          <w:b w:val="0"/>
          <w:i w:val="0"/>
          <w:color w:val="1a1a1a"/>
          <w:sz w:val="18"/>
        </w:rPr>
        <w:t xml:space="preserve">Customer testimonials must be from verifiable Bajaj Life customers; pseudonyms acceptable if disclosed</w:t>
      </w:r>
      <w:r/>
      <w:r>
        <w:rPr>
          <w:highlight w:val="none"/>
          <w:lang w:val="en-IN"/>
        </w:rPr>
      </w:r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Maintain brand guidelines for naming, logos, and trademarks.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Avoid jargon: replace 'IRR', 'CAGR', 'NAV' with plain-language explanations or footnote definitions in retail content.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Brand voice avoids 'tension', 'worry', 'problem' as negative anchors; reframe with positive emotional outcomes.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Use Indian English spelling (e.g., 'organise', 'colour') unless writing for global digital audience.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Numerical examples must use realistic Indian context (e.g., ₹50 lakh cover, ₹10,000 monthly premium).</w:t>
      </w:r>
      <w:r/>
      <w:r/>
    </w:p>
    <w:p>
      <w:pPr>
        <w:pBdr/>
        <w:spacing/>
        <w:ind/>
        <w:rPr/>
      </w:pPr>
      <w:r>
        <w:rPr>
          <w:rFonts w:ascii="Calibri" w:hAnsi="Calibri"/>
          <w:b w:val="0"/>
          <w:i w:val="0"/>
          <w:color w:val="1a1a1a"/>
          <w:sz w:val="18"/>
        </w:rPr>
        <w:t xml:space="preserve">Use 'protection' or 'cover', not 'insurance' alone, when discussing emotional benefit (per brand voice guide).</w:t>
      </w:r>
      <w:r/>
      <w:r/>
    </w:p>
    <w:p>
      <w:pPr>
        <w:pBdr/>
        <w:spacing/>
        <w:ind/>
        <w:rPr>
          <w:rFonts w:ascii="Calibri" w:hAnsi="Calibri" w:cs="Calibri"/>
          <w:b w:val="0"/>
          <w:bCs w:val="0"/>
          <w:sz w:val="18"/>
          <w:szCs w:val="18"/>
        </w:rPr>
      </w:pPr>
      <w:r>
        <w:rPr>
          <w:rFonts w:ascii="Calibri" w:hAnsi="Calibri"/>
          <w:b w:val="0"/>
          <w:i w:val="0"/>
          <w:color w:val="1a1a1a"/>
          <w:sz w:val="18"/>
        </w:rPr>
        <w:t xml:space="preserve">Product names use Title Case: 'Bajaj Life Smart Wealth Goal'; never 'BAJAJ ALLIANZ'</w:t>
      </w:r>
      <w:r>
        <w:rPr>
          <w:color w:val="ffffff" w:themeColor="background1"/>
          <w:lang w:val="en-IN"/>
        </w:rPr>
        <w:t xml:space="preserve"> </w:t>
      </w:r>
      <w:r>
        <w:rPr>
          <w:lang w:val="en-IN"/>
        </w:rPr>
        <w:t xml:space="preserve"> </w:t>
      </w:r>
      <w:r>
        <w:rPr>
          <w:rFonts w:ascii="Calibri" w:hAnsi="Calibri" w:eastAsia="Calibri" w:cs="Calibri"/>
          <w:b w:val="0"/>
          <w:bCs w:val="0"/>
          <w:sz w:val="18"/>
          <w:szCs w:val="18"/>
          <w:lang w:val="en-IN"/>
        </w:rPr>
        <w:t xml:space="preserve">or  ‘BAJAJ LIFE INSURANCE LIMITED’</w:t>
      </w:r>
      <w:r>
        <w:rPr>
          <w:rFonts w:ascii="Calibri" w:hAnsi="Calibri" w:cs="Calibri"/>
          <w:b w:val="0"/>
          <w:bCs w:val="0"/>
          <w:sz w:val="18"/>
          <w:szCs w:val="18"/>
        </w:rPr>
      </w:r>
    </w:p>
    <w:p>
      <w:pPr>
        <w:pBdr/>
        <w:spacing/>
        <w:ind/>
        <w:rPr/>
      </w:pPr>
      <w:r>
        <w:rPr>
          <w:highlight w:val="none"/>
          <w:lang w:val="en-IN"/>
        </w:rPr>
      </w:r>
      <w:r>
        <w:rPr>
          <w:rFonts w:ascii="Calibri" w:hAnsi="Calibri"/>
          <w:b w:val="0"/>
          <w:i w:val="0"/>
          <w:color w:val="1a1a1a"/>
          <w:sz w:val="18"/>
        </w:rPr>
        <w:t xml:space="preserve"> </w:t>
      </w:r>
      <w:r>
        <w:rPr>
          <w:highlight w:val="none"/>
          <w:lang w:val="en-IN"/>
        </w:rPr>
      </w:r>
      <w:r/>
    </w:p>
    <w:p>
      <w:pPr>
        <w:pBdr/>
        <w:spacing/>
        <w:ind/>
        <w:rPr>
          <w:b/>
          <w:bCs/>
          <w:highlight w:val="none"/>
          <w:lang w:val="en-IN"/>
        </w:rPr>
      </w:pPr>
      <w:r>
        <w:rPr>
          <w:b/>
          <w:bCs/>
          <w:highlight w:val="none"/>
          <w:lang w:val="en-IN"/>
        </w:rPr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81"/>
    <w:next w:val="881"/>
    <w:link w:val="83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4">
    <w:name w:val="Heading 2"/>
    <w:basedOn w:val="881"/>
    <w:next w:val="881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81"/>
    <w:next w:val="881"/>
    <w:link w:val="83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6">
    <w:name w:val="Heading 4"/>
    <w:basedOn w:val="881"/>
    <w:next w:val="881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81"/>
    <w:next w:val="881"/>
    <w:link w:val="83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81"/>
    <w:next w:val="881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81"/>
    <w:next w:val="881"/>
    <w:link w:val="8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81"/>
    <w:next w:val="881"/>
    <w:link w:val="84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81"/>
    <w:next w:val="881"/>
    <w:link w:val="84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 w:default="1">
    <w:name w:val="Default Paragraph Font"/>
    <w:uiPriority w:val="1"/>
    <w:semiHidden/>
    <w:unhideWhenUsed/>
    <w:pPr>
      <w:pBdr/>
      <w:spacing/>
      <w:ind/>
    </w:pPr>
  </w:style>
  <w:style w:type="character" w:styleId="833">
    <w:name w:val="Heading 1 Char"/>
    <w:basedOn w:val="832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4">
    <w:name w:val="Heading 2 Char"/>
    <w:basedOn w:val="832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5">
    <w:name w:val="Heading 3 Char"/>
    <w:basedOn w:val="832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6">
    <w:name w:val="Heading 4 Char"/>
    <w:basedOn w:val="832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7">
    <w:name w:val="Heading 5 Char"/>
    <w:basedOn w:val="832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8">
    <w:name w:val="Heading 6 Char"/>
    <w:basedOn w:val="832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9">
    <w:name w:val="Heading 7 Char"/>
    <w:basedOn w:val="832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0">
    <w:name w:val="Heading 8 Char"/>
    <w:basedOn w:val="832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1">
    <w:name w:val="Heading 9 Char"/>
    <w:basedOn w:val="832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Title"/>
    <w:basedOn w:val="881"/>
    <w:next w:val="881"/>
    <w:link w:val="84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3">
    <w:name w:val="Title Char"/>
    <w:basedOn w:val="832"/>
    <w:link w:val="8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4">
    <w:name w:val="Subtitle"/>
    <w:basedOn w:val="881"/>
    <w:next w:val="881"/>
    <w:link w:val="84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5">
    <w:name w:val="Subtitle Char"/>
    <w:basedOn w:val="832"/>
    <w:link w:val="8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6">
    <w:name w:val="Quote"/>
    <w:basedOn w:val="881"/>
    <w:next w:val="881"/>
    <w:link w:val="8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7">
    <w:name w:val="Quote Char"/>
    <w:basedOn w:val="832"/>
    <w:link w:val="8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Intense Emphasis"/>
    <w:basedOn w:val="8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81"/>
    <w:next w:val="881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32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2">
    <w:name w:val="Subtle Emphasis"/>
    <w:basedOn w:val="8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Emphasis"/>
    <w:basedOn w:val="832"/>
    <w:uiPriority w:val="20"/>
    <w:qFormat/>
    <w:pPr>
      <w:pBdr/>
      <w:spacing/>
      <w:ind/>
    </w:pPr>
    <w:rPr>
      <w:i/>
      <w:iCs/>
    </w:rPr>
  </w:style>
  <w:style w:type="character" w:styleId="854">
    <w:name w:val="Strong"/>
    <w:basedOn w:val="832"/>
    <w:uiPriority w:val="22"/>
    <w:qFormat/>
    <w:pPr>
      <w:pBdr/>
      <w:spacing/>
      <w:ind/>
    </w:pPr>
    <w:rPr>
      <w:b/>
      <w:bCs/>
    </w:rPr>
  </w:style>
  <w:style w:type="character" w:styleId="855">
    <w:name w:val="Subtle Reference"/>
    <w:basedOn w:val="8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6">
    <w:name w:val="Book Title"/>
    <w:basedOn w:val="8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7">
    <w:name w:val="Header"/>
    <w:basedOn w:val="881"/>
    <w:link w:val="8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8">
    <w:name w:val="Header Char"/>
    <w:basedOn w:val="832"/>
    <w:link w:val="857"/>
    <w:uiPriority w:val="99"/>
    <w:pPr>
      <w:pBdr/>
      <w:spacing/>
      <w:ind/>
    </w:pPr>
  </w:style>
  <w:style w:type="paragraph" w:styleId="859">
    <w:name w:val="Footer"/>
    <w:basedOn w:val="881"/>
    <w:link w:val="8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0">
    <w:name w:val="Footer Char"/>
    <w:basedOn w:val="832"/>
    <w:link w:val="859"/>
    <w:uiPriority w:val="99"/>
    <w:pPr>
      <w:pBdr/>
      <w:spacing/>
      <w:ind/>
    </w:pPr>
  </w:style>
  <w:style w:type="paragraph" w:styleId="861">
    <w:name w:val="Caption"/>
    <w:basedOn w:val="881"/>
    <w:next w:val="8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32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32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32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paragraph" w:styleId="879">
    <w:name w:val="TOC Heading"/>
    <w:uiPriority w:val="39"/>
    <w:unhideWhenUsed/>
    <w:pPr>
      <w:pBdr/>
      <w:spacing/>
      <w:ind/>
    </w:p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paragraph" w:styleId="884">
    <w:name w:val="No Spacing"/>
    <w:basedOn w:val="881"/>
    <w:uiPriority w:val="1"/>
    <w:qFormat/>
    <w:pPr>
      <w:pBdr/>
      <w:spacing w:after="0" w:line="240" w:lineRule="auto"/>
      <w:ind/>
    </w:pPr>
  </w:style>
  <w:style w:type="paragraph" w:styleId="885">
    <w:name w:val="List Paragraph"/>
    <w:basedOn w:val="88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2026-06-18T08:32:55Z</dcterms:modified>
</cp:coreProperties>
</file>