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分步提示与大学生独立解题 研究设计教学示例 教学草稿</w:t>
      </w:r>
    </w:p>
    <w:p>
      <w:pPr>
        <w:pStyle w:val="Heading1"/>
      </w:pPr>
      <w:r>
        <w:t>立项依据</w:t>
      </w:r>
    </w:p>
    <w:p>
      <w:r>
        <w:t>大学课程中的AI辅导需要区分当时做对题和离开工具后独立解题。Bastani等的高中数学研究采用不同AI辅导条件与无辅助测验，说明研究设计可以分别观察工具使用阶段和独立作答阶段。本例拟在大学入门统计课程中比较分步提示与常规问答，观察提示方式与独立解题表现的关系。需要先完成相关文献检索，确认大学情境下已有研究及本方案的具体差异；当前不主张首次发现或已证明创新性。</w:t>
        <w:br/>
        <w:t>依据：BASTANI, DESIGN</w:t>
      </w:r>
    </w:p>
    <w:p>
      <w:pPr>
        <w:pStyle w:val="Heading1"/>
      </w:pPr>
      <w:r>
        <w:t>研究内容</w:t>
      </w:r>
    </w:p>
    <w:p>
      <w:r>
        <w:t>研究问题是：在模型、练习题目与时间相同的条件下，要求学习者先写出思路再获得提示，是否改变其后续独立解题表现？拟比较两种辅导条件：常规问答允许直接获得解答；分步提示先要求展示已有步骤，再提供下一步线索。正式研究前需取得伦理审查意见与材料使用授权，并根据主要结局、预期效应、分配单位及失访情况确定样本量。</w:t>
        <w:br/>
        <w:t>研究内容包括题目与评分规则的预试核对、两种条件下的作答过程记录、无AI新题测验以及过程和测验结果的联合解释。主要结局拟为无AI新题测验成绩，过程指标包括独立尝试、求助和修正记录。分配方式及其可行性需先核定；若按班级分配，应在设计和分析中处理班级相关性。过程记录不能单独证明学习机制。</w:t>
        <w:br/>
        <w:t>课程示例暂按12个月安排材料准备、预试、实施、分析与归档，此期限仅用于演示。若提示规则执行不稳定，应先修订并重新预试；若无法开展分组比较，应调整研究目标，并明确证据强度变化，不能沿用原因果表述。具体测量时间、样本量、阈值与成本尚未确定。</w:t>
        <w:br/>
        <w:t>依据：DESIGN, TEACH-GUIDE</w:t>
      </w:r>
    </w:p>
    <w:p>
      <w:pPr>
        <w:pStyle w:val="Heading1"/>
      </w:pPr>
      <w:r>
        <w:t>研究基础</w:t>
      </w:r>
    </w:p>
    <w:p>
      <w:r>
        <w:t>当前没有申请人的真实前期数据、代表作贡献说明、课程准入证明或设备与合作承诺。本节仅提供公开研究来源和自编研究设想，二者均不能充当申请人研究基础。上述材料仍需申请人提供并核实；本教学稿未开展采样或获得伦理批准。</w:t>
        <w:br/>
        <w:t>依据：DESIGN</w:t>
      </w:r>
    </w:p>
    <w:p>
      <w:pPr>
        <w:pStyle w:val="Heading1"/>
      </w:pPr>
      <w:r>
        <w:t>来源与未决问题</w:t>
      </w:r>
    </w:p>
    <w:p>
      <w:r>
        <w:t>材料属性：teaching-simulation。本文件是受约束的材料组织草稿。科研事实与正式提交仍需研究者核对。</w:t>
      </w:r>
    </w:p>
    <w:p>
      <w:r>
        <w:t>TEACH-GUIDE  guide.json，TEACH-SECTION10-01；非官方指南</w:t>
      </w:r>
    </w:p>
    <w:p>
      <w:r>
        <w:t>DESIGN  grant.json，课程自编研究设想；未实施</w:t>
      </w:r>
    </w:p>
    <w:p>
      <w:r>
        <w:t>BASTANI  Bastani等，PNAS 2025，10.1073/pnas.2422633122；作者公开版Experimental Design；仅借鉴研究设计，不复制为团队前期成果</w:t>
      </w:r>
    </w:p>
    <w:p>
      <w:r>
        <w:t>FOUNDATION  缺申请人真实前期工作与条件证明</w:t>
      </w:r>
    </w:p>
    <w:p>
      <w:r>
        <w:t>NOVELTY  相关研究检索和创新性审查未完成</w:t>
      </w:r>
    </w:p>
    <w:p>
      <w:r>
        <w:t>DESIGN  伦理、授权、样本量和分配方案尚未核定</w:t>
      </w:r>
    </w:p>
    <w:p>
      <w:r>
        <w:t>USE  AI协助编写的教学模拟，不用于正式基金申报；国自然使用边界须遵守2026年官方要求</w:t>
      </w:r>
    </w:p>
    <w:p>
      <w:r>
        <w:t>HUMAN-SIGNOFF  需要研究者对输入和模板的当前版本签核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