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公开文献筛选与核验流程 教学草稿</w:t>
      </w:r>
    </w:p>
    <w:p>
      <w:pPr>
        <w:pStyle w:val="Heading1"/>
      </w:pPr>
      <w:r>
        <w:t>立项依据</w:t>
      </w:r>
    </w:p>
    <w:p>
      <w:r>
        <w:t>教学问题是AI辅助文献筛选在不同文献特征上的漏检及其适用边界。该问题的新颖性尚需真实文献检索核对，不声称已有立项资格。</w:t>
        <w:br/>
        <w:t>依据：INPUT-01</w:t>
      </w:r>
    </w:p>
    <w:p>
      <w:pPr>
        <w:pStyle w:val="Heading1"/>
      </w:pPr>
      <w:r>
        <w:t>研究目标</w:t>
      </w:r>
    </w:p>
    <w:p>
      <w:r>
        <w:t>建立可复核的筛选流程，独立评价召回与耗时，并保留人工复核关口。</w:t>
        <w:br/>
        <w:t>依据：GUIDE-01, INPUT-01</w:t>
      </w:r>
    </w:p>
    <w:p>
      <w:pPr>
        <w:pStyle w:val="Heading1"/>
      </w:pPr>
      <w:r>
        <w:t>研究内容</w:t>
      </w:r>
    </w:p>
    <w:p>
      <w:r>
        <w:t>固定公开候选文献集与参考答案。比较人工和AI辅助筛选，按预先确定的类别记录错误，并检查人工复核能否弥补漏检。</w:t>
        <w:br/>
        <w:t>依据：INPUT-01</w:t>
      </w:r>
    </w:p>
    <w:p>
      <w:pPr>
        <w:pStyle w:val="Heading1"/>
      </w:pPr>
      <w:r>
        <w:t>技术路线</w:t>
      </w:r>
    </w:p>
    <w:p>
      <w:r>
        <w:t>公开材料准入、独立参考答案、固定任务比较、错误分析、人工复核、可复算报告。API失败时使用预先缓存材料并标示离线回放。</w:t>
        <w:br/>
        <w:t>依据：INPUT-01</w:t>
      </w:r>
    </w:p>
    <w:p>
      <w:pPr>
        <w:pStyle w:val="Heading1"/>
      </w:pPr>
      <w:r>
        <w:t>考核指标</w:t>
      </w:r>
    </w:p>
    <w:p>
      <w:r>
        <w:t>代码与环境可独立复跑。保存逐条筛选记录、耗时和漏检，不预先承诺未经证实的提升百分比。文档及来源可编辑可追溯。</w:t>
        <w:br/>
        <w:t>依据：GUIDE-01</w:t>
      </w:r>
    </w:p>
    <w:p>
      <w:pPr>
        <w:pStyle w:val="Heading1"/>
      </w:pPr>
      <w:r>
        <w:t>研究基础与风险</w:t>
      </w:r>
    </w:p>
    <w:p>
      <w:r>
        <w:t>当前没有提供申请人的团队成果、前期数据或设备证明。该缺口需要申请人补充，不用公开数据可下载性替代团队研究基础。</w:t>
        <w:br/>
        <w:t>依据：INPUT-01</w:t>
      </w:r>
    </w:p>
    <w:p>
      <w:pPr>
        <w:pStyle w:val="Heading1"/>
      </w:pPr>
      <w:r>
        <w:t>来源与未决问题</w:t>
      </w:r>
    </w:p>
    <w:p>
      <w:r>
        <w:t>材料属性：teaching-simulation。本文件是受约束的材料组织草稿。科研事实与正式提交仍需研究者核对。</w:t>
      </w:r>
    </w:p>
    <w:p>
      <w:r>
        <w:t>GUIDE-01  本目录 guide.json；TEACH-GRANT-01，非官方基金指南</w:t>
      </w:r>
    </w:p>
    <w:p>
      <w:r>
        <w:t>INPUT-01  本目录 grant.json，研究设计教学材料</w:t>
      </w:r>
    </w:p>
    <w:p>
      <w:r>
        <w:t>FOUNDATION  未提供申请人真实研究基础；不得正式提交</w:t>
      </w:r>
    </w:p>
    <w:p>
      <w:r>
        <w:t>NOVELTY  尚未完成真实文献查新与科学可行性审查</w:t>
      </w:r>
    </w:p>
    <w:p>
      <w:r>
        <w:t>HUMAN-SIGNOFF  需要研究者对输入和模板的当前版本签核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