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024" w:rsidRPr="00F61A0E" w:rsidRDefault="00BB1024">
      <w:pPr>
        <w:spacing w:line="480" w:lineRule="auto"/>
        <w:jc w:val="center"/>
        <w:rPr>
          <w:rFonts w:ascii="Times New Roman" w:hAnsi="Times New Roman" w:cs="Times New Roman"/>
          <w:b/>
          <w:sz w:val="24"/>
          <w:szCs w:val="24"/>
        </w:rPr>
      </w:pPr>
    </w:p>
    <w:p w:rsidR="00BB1024" w:rsidRPr="00F61A0E" w:rsidRDefault="00BB1024">
      <w:pPr>
        <w:spacing w:line="480" w:lineRule="auto"/>
        <w:jc w:val="center"/>
        <w:rPr>
          <w:rFonts w:ascii="Times New Roman" w:hAnsi="Times New Roman" w:cs="Times New Roman"/>
          <w:b/>
          <w:sz w:val="24"/>
          <w:szCs w:val="24"/>
        </w:rPr>
      </w:pPr>
    </w:p>
    <w:p w:rsidR="00BB1024" w:rsidRPr="00F61A0E" w:rsidRDefault="00BB1024">
      <w:pPr>
        <w:spacing w:line="480" w:lineRule="auto"/>
        <w:jc w:val="center"/>
        <w:rPr>
          <w:rFonts w:ascii="Times New Roman" w:hAnsi="Times New Roman" w:cs="Times New Roman"/>
          <w:sz w:val="24"/>
          <w:szCs w:val="24"/>
        </w:rPr>
      </w:pPr>
    </w:p>
    <w:p w:rsidR="00BB1024" w:rsidRPr="00F61A0E" w:rsidRDefault="00BB1024">
      <w:pPr>
        <w:spacing w:line="480" w:lineRule="auto"/>
        <w:jc w:val="center"/>
        <w:rPr>
          <w:rFonts w:ascii="Times New Roman" w:hAnsi="Times New Roman" w:cs="Times New Roman"/>
          <w:sz w:val="24"/>
          <w:szCs w:val="24"/>
        </w:rPr>
      </w:pPr>
    </w:p>
    <w:p w:rsidR="00BB1024" w:rsidRPr="00F61A0E" w:rsidRDefault="00BB1024">
      <w:pPr>
        <w:spacing w:line="480" w:lineRule="auto"/>
        <w:jc w:val="center"/>
        <w:rPr>
          <w:rFonts w:ascii="Times New Roman" w:hAnsi="Times New Roman" w:cs="Times New Roman"/>
          <w:sz w:val="24"/>
          <w:szCs w:val="24"/>
        </w:rPr>
      </w:pPr>
    </w:p>
    <w:p w:rsidR="00BB1024" w:rsidRPr="00F61A0E" w:rsidRDefault="00BB1024">
      <w:pPr>
        <w:spacing w:line="480" w:lineRule="auto"/>
        <w:jc w:val="center"/>
        <w:rPr>
          <w:rFonts w:ascii="Times New Roman" w:hAnsi="Times New Roman" w:cs="Times New Roman"/>
          <w:sz w:val="24"/>
          <w:szCs w:val="24"/>
        </w:rPr>
      </w:pPr>
    </w:p>
    <w:p w:rsidR="00BB1024" w:rsidRPr="00F61A0E" w:rsidRDefault="00243D89">
      <w:pPr>
        <w:spacing w:line="480" w:lineRule="auto"/>
        <w:jc w:val="center"/>
        <w:rPr>
          <w:rFonts w:ascii="Times New Roman" w:hAnsi="Times New Roman" w:cs="Times New Roman"/>
          <w:sz w:val="24"/>
          <w:szCs w:val="24"/>
        </w:rPr>
      </w:pPr>
      <w:r w:rsidRPr="00F61A0E">
        <w:rPr>
          <w:rFonts w:ascii="Times New Roman" w:hAnsi="Times New Roman" w:cs="Times New Roman"/>
          <w:sz w:val="24"/>
          <w:szCs w:val="24"/>
        </w:rPr>
        <w:t>Students Name</w:t>
      </w:r>
    </w:p>
    <w:p w:rsidR="00BB1024" w:rsidRPr="00F61A0E" w:rsidRDefault="00243D89">
      <w:pPr>
        <w:spacing w:line="480" w:lineRule="auto"/>
        <w:jc w:val="center"/>
        <w:rPr>
          <w:rFonts w:ascii="Times New Roman" w:hAnsi="Times New Roman" w:cs="Times New Roman"/>
          <w:sz w:val="24"/>
          <w:szCs w:val="24"/>
        </w:rPr>
      </w:pPr>
      <w:r w:rsidRPr="00F61A0E">
        <w:rPr>
          <w:rFonts w:ascii="Times New Roman" w:hAnsi="Times New Roman" w:cs="Times New Roman"/>
          <w:sz w:val="24"/>
          <w:szCs w:val="24"/>
        </w:rPr>
        <w:t>Course</w:t>
      </w:r>
    </w:p>
    <w:p w:rsidR="00BB1024" w:rsidRPr="00F61A0E" w:rsidRDefault="00243D89">
      <w:pPr>
        <w:spacing w:line="480" w:lineRule="auto"/>
        <w:jc w:val="center"/>
        <w:rPr>
          <w:rFonts w:ascii="Times New Roman" w:hAnsi="Times New Roman" w:cs="Times New Roman"/>
          <w:sz w:val="24"/>
          <w:szCs w:val="24"/>
        </w:rPr>
      </w:pPr>
      <w:r w:rsidRPr="00F61A0E">
        <w:rPr>
          <w:rFonts w:ascii="Times New Roman" w:hAnsi="Times New Roman" w:cs="Times New Roman"/>
          <w:sz w:val="24"/>
          <w:szCs w:val="24"/>
        </w:rPr>
        <w:t>Institution Affiliation</w:t>
      </w:r>
    </w:p>
    <w:p w:rsidR="00BB1024" w:rsidRPr="00F61A0E" w:rsidRDefault="00243D89">
      <w:pPr>
        <w:spacing w:line="480" w:lineRule="auto"/>
        <w:jc w:val="center"/>
        <w:rPr>
          <w:rFonts w:ascii="Times New Roman" w:hAnsi="Times New Roman" w:cs="Times New Roman"/>
          <w:sz w:val="24"/>
          <w:szCs w:val="24"/>
        </w:rPr>
      </w:pPr>
      <w:r w:rsidRPr="00F61A0E">
        <w:rPr>
          <w:rFonts w:ascii="Times New Roman" w:hAnsi="Times New Roman" w:cs="Times New Roman"/>
          <w:sz w:val="24"/>
          <w:szCs w:val="24"/>
        </w:rPr>
        <w:t>Due Date</w:t>
      </w:r>
    </w:p>
    <w:p w:rsidR="00BB1024" w:rsidRPr="00F61A0E" w:rsidRDefault="00243D89">
      <w:pPr>
        <w:rPr>
          <w:rFonts w:ascii="Times New Roman" w:hAnsi="Times New Roman" w:cs="Times New Roman"/>
          <w:b/>
          <w:sz w:val="24"/>
          <w:szCs w:val="24"/>
        </w:rPr>
      </w:pPr>
      <w:r w:rsidRPr="00F61A0E">
        <w:rPr>
          <w:rFonts w:ascii="Times New Roman" w:hAnsi="Times New Roman" w:cs="Times New Roman"/>
          <w:sz w:val="24"/>
          <w:szCs w:val="24"/>
        </w:rPr>
        <w:br w:type="page"/>
      </w:r>
    </w:p>
    <w:p w:rsidR="00BB1024" w:rsidRPr="00F61A0E" w:rsidRDefault="00243D89">
      <w:pPr>
        <w:spacing w:line="480" w:lineRule="auto"/>
        <w:jc w:val="center"/>
        <w:rPr>
          <w:rFonts w:ascii="Times New Roman" w:hAnsi="Times New Roman" w:cs="Times New Roman"/>
          <w:sz w:val="24"/>
          <w:szCs w:val="24"/>
        </w:rPr>
      </w:pPr>
      <w:r w:rsidRPr="00F61A0E">
        <w:rPr>
          <w:rFonts w:ascii="Times New Roman" w:hAnsi="Times New Roman" w:cs="Times New Roman"/>
          <w:b/>
          <w:sz w:val="24"/>
          <w:szCs w:val="24"/>
        </w:rPr>
        <w:lastRenderedPageBreak/>
        <w:t>Abstract</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The cornerstone of the sustainability of emerging markets is economic growth, usually characterized by rapid industrialization, resource dependency, and structural vulnerabilities. Economies like Brazil, India, and South Africa face unique challenges that impede consistent growth, including weak institutional frameworks, trade imbalances, and dependence on foreign capital. This paper tries to gauge those factors affecting economic growth in both regions, with special attention being paid to the interaction amongst Foreign Direct Investment and Government Expenditure, trade balance. The paper also exploits a panel dataset covering 2010-2020 for empirical estimation by using Ordinary Least Square to assess the correlation between these variables and GDP growth. Data obtained from World Bank, IMF. Comprehensive diagnostic tests, which include checks for multicollinearity, heteroscedasticity, and autocorrelation, confirm that the estimates from the econometric model are reliable and robust.</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Preliminary analysis indicates that FDI is positively related to GDP growth in ways that promote capital inflow, technological advancement, and improvement in productivity. In the same vein, government expenditure can stimulate economic activities if the spending is well-targeted toward infrastructure and social development, while the negative side of it-like inefficiency or over-expenditure-can crowd out private sector investment and thus hurt growth. The role of trade balance is pretty complex, since trade surpluses are likely to favor GDP growth via enhanced export competitiveness, while persistent deficits may point to structural inefficiencies. Therefore, studying these variables in the context of emerging markets will go a long way in offering useful insights to policymakers and investors. It is intended that information useful in the development of an appropriate strategy to optimize FDI inflows, enhance fiscal efficiency, and manage trade dynamics for sustained economic growth will be provided. These </w:t>
      </w:r>
      <w:r w:rsidRPr="00F61A0E">
        <w:rPr>
          <w:rFonts w:ascii="Times New Roman" w:hAnsi="Times New Roman" w:cs="Times New Roman"/>
          <w:sz w:val="24"/>
          <w:szCs w:val="24"/>
        </w:rPr>
        <w:lastRenderedPageBreak/>
        <w:t>findings are expected to close the existing gaps in the literature on growth determinants with an added nuance and policy suggestions for stability and economic development in the emerging markets.</w:t>
      </w:r>
    </w:p>
    <w:p w:rsidR="00BB1024" w:rsidRPr="00F61A0E" w:rsidRDefault="00243D89">
      <w:pPr>
        <w:spacing w:line="480" w:lineRule="auto"/>
        <w:jc w:val="center"/>
        <w:rPr>
          <w:rFonts w:ascii="Times New Roman" w:hAnsi="Times New Roman" w:cs="Times New Roman"/>
          <w:sz w:val="24"/>
          <w:szCs w:val="24"/>
        </w:rPr>
      </w:pPr>
      <w:r w:rsidRPr="00F61A0E">
        <w:rPr>
          <w:rFonts w:ascii="Times New Roman" w:hAnsi="Times New Roman" w:cs="Times New Roman"/>
          <w:b/>
          <w:sz w:val="24"/>
          <w:szCs w:val="24"/>
        </w:rPr>
        <w:t>Introduction</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Economic growth within emerging markets is usually central to the interests of economies and policymakers because from time to time, those governments have served as the driving motors across the world. While countries such as Brazil, India, or South Africa have shown great potential for enlargements in their economies, they are still bound by structured problems in the form of inefficiency of institutions, technological chides, and dependence upon external financing. The fact remains that these challenges, although very rewarding, create a two-way tussle: just as these economies are driving world trade and investment, their growth trajectories would naturally be fragile to internal and external turbulences. In an effort to find the determinants of economic growth, the contributions of FDI, government expenditure, and trade balance, this study will, respectively, shed light on how such relationships vary across the emerging market divide. The study analyzes these aspects of the factors that help drive growth and thereby guide on sustainable policies that would meet certain existing challenges while leveraging opportunities for growth.</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The same concept of FDI has often been observed to be perceived as one of the motivators towards economic growth and development within emergent economies. Besides their much-needed capital supplementation, FDI often transfers advanced technologies, management capability, and exposure to worldwide markets. Such gains improve the level of productivity and achieve some unprecedented industrialization in the cases of well-built institutional settings and adequate infrastructural structures. Targeted FDI inflows in the IT </w:t>
      </w:r>
      <w:r w:rsidRPr="00F61A0E">
        <w:rPr>
          <w:rFonts w:ascii="Times New Roman" w:hAnsi="Times New Roman" w:cs="Times New Roman"/>
          <w:sz w:val="24"/>
          <w:szCs w:val="24"/>
        </w:rPr>
        <w:lastRenderedPageBreak/>
        <w:t>sector in India are such examples. However, the value of FDI depends on the country's absorptive capacity: the skill level of the labor force, the efficiency of regulations, and the quality of governance. The study will, therefore, take an in-depth look into the relationship between FDI and GDP growth and make practical recommendations for the perfection of FDI policies in order to ensure that foreign investment leads to actual development benefits.</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This paper investigates whether trade balance influences GDP growth by underlining that export diversification and competitiveness, as encouraged by policies, may improve the trade balance and tackle inefficiencies which are at the roots of the trade deficit. The interaction between FDI, government spending, the balance of trade, and GDP growth has been studied in this work to deepen understanding of the economic dynamics shaping the emerging markets. The study lays the foundation for evidence-based policymaking, hence offering support to these economies in tackling their structural challenges in order to achieve Sustainable Development.</w:t>
      </w:r>
    </w:p>
    <w:p w:rsidR="00BB1024" w:rsidRPr="00F61A0E" w:rsidRDefault="00243D89">
      <w:pPr>
        <w:pStyle w:val="Heading1"/>
        <w:spacing w:line="480" w:lineRule="auto"/>
        <w:jc w:val="center"/>
        <w:rPr>
          <w:rFonts w:ascii="Times New Roman" w:hAnsi="Times New Roman" w:cs="Times New Roman"/>
          <w:sz w:val="24"/>
          <w:szCs w:val="24"/>
        </w:rPr>
      </w:pPr>
      <w:r w:rsidRPr="00F61A0E">
        <w:rPr>
          <w:rFonts w:ascii="Times New Roman" w:hAnsi="Times New Roman" w:cs="Times New Roman"/>
          <w:b/>
          <w:color w:val="000000" w:themeColor="text1"/>
          <w:sz w:val="24"/>
          <w:szCs w:val="24"/>
        </w:rPr>
        <w:t>Literature Review</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Several empirical investigations have examined the connection between GDP growth and its antecedents including FDI, government expenditure, and the balance of trade with the hope of explaining the sign and intensity of the facades of the variables involved on the growth of the economy. As the emergent economies assume important roles in the world’s economy, it is becoming increasingly important to grasp them. Research in this line has explored the role of government expenditure, FDI and trade balance that is generally intertwined with economic growth in emerging generating economy. Government expenditure has long been regarded as having a bearing on infrastructure and people capital while FDI only as a capital, technology and market affiliation. The trade balance of a country as part of international trade account also affects growth by deciding whether imports and exports or products as well as services and </w:t>
      </w:r>
      <w:r w:rsidRPr="00F61A0E">
        <w:rPr>
          <w:rFonts w:ascii="Times New Roman" w:hAnsi="Times New Roman" w:cs="Times New Roman"/>
          <w:sz w:val="24"/>
          <w:szCs w:val="24"/>
        </w:rPr>
        <w:lastRenderedPageBreak/>
        <w:t>capital should proceed or not. In this section, the authors will review relevant literature focusing on specific determinants of GDP growth in emerging markets and how the components work synergistically or independently in the development of a nation’s economy.</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Abada and Manasseh (2020) undertook a comprehensive investigation of the co-movement between government expenditure, savings, FDI, and economic growth in developing world economies. Budgetary consumption is crucial to the growth of the nation’s economy as highlighted in the study and this comes in the form of productive expenditure on areas such as infrastructure and education. Such state expenditures are in some ways not only employment generating but also have potential for increasing productive abilities of the economy, correcting market imperfections and training human capital. Moreover, the authors also pointed out that was also too much spending by government on unproductive sectors which include non-productive welfare programs where it would hamper the above stated positive impact on growth. In addition, the study established that FDI augments government expenditure for development through enhancing capital accumulation and implementation of superior technologies. </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Lomachynska et al. (2020) studied the effect of FDI on export growth in the Visegrad Group countries which are Hungary, Poland, the Czech Republic, and Slovakia. A strong and statistically significant positive relationship between FDI inflows and export performance was established, thus confirming the hypothesis that FDI boosts industrial production and international competiveness. The authors pointed out that FDI has greater positive impact where absorptive capacity is high, in terms of logistics and skilled manpower. </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Ridha and Parwanto (2020) aimed at analyzing the effect of FDI and human development towards the Indonesia’s macroeconomic stability and economic growth. They were able to prove that FDI is a major factor that determines GDP growth in those countries, if accompanied by </w:t>
      </w:r>
      <w:r w:rsidRPr="00F61A0E">
        <w:rPr>
          <w:rFonts w:ascii="Times New Roman" w:hAnsi="Times New Roman" w:cs="Times New Roman"/>
          <w:sz w:val="24"/>
          <w:szCs w:val="24"/>
        </w:rPr>
        <w:lastRenderedPageBreak/>
        <w:t xml:space="preserve">investments into people. On the expenditure side the study emphasized that investments on education and health are most productive to improve the work force and thereby increase the absorptive capacity of foreign capital in the country. The authors observed a constant depreciation of these positive effects because FDI could be affected by factors such as inflation and currency fluctuations that are associated with macroeconomic instability. In emerging economy, inflation rate is always volatile and the fluctuations in currency may pose threatening to the times of the economy, the efficacy of FDI therefore depends on the general microsystem. </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Khan et al. (2020) examined the effect of natural disasters on FDI and fiscal situation, and economic growth in Belt and Road Initiative (BRI) countries. Natural disasters negatively affect economic development and decrease FDI due to budget constraints and damaged infrastructure – demonstrated in their study. For instance, floods, earthquakes and typhoon conditions pose direct problems to economies in developing countries: an increased pressure on expenditure destined to calamities mostly affecting… infrastructure. But the study noted that disaster shocks are likely to affect countries that have weak fiscal structures and poor disaster response mechanisms in the long run more severely. These countries usually experience a return to order which helps to reverse contractor’s perceptions and bring about inflow of Foreign Direct Investment FDI. </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Qehaja, Zeka, and Hoti (2022) examined the effect of FDI on change stability in Southeast Europe from 2000 to 2018. Their studies located that even as FDI first of all worsens the exchange balance through increasing imports of capital items, it ultimately improves change overall performance with the aid of boosting export abilities. The authors argued that FDI inflows tend to boom imports of equipment, technology, and different capital goods needed for industrial improvement. However, over time, as the productive capacity of the economy grows, </w:t>
      </w:r>
      <w:r w:rsidRPr="00F61A0E">
        <w:rPr>
          <w:rFonts w:ascii="Times New Roman" w:hAnsi="Times New Roman" w:cs="Times New Roman"/>
          <w:sz w:val="24"/>
          <w:szCs w:val="24"/>
        </w:rPr>
        <w:lastRenderedPageBreak/>
        <w:t xml:space="preserve">exports additionally growth, main to a development in the alternate stability. The take a look at concluded that the lengthy-time period effects of FDI on change balance depend upon the users capability to convert capital goods imports into multiplied export ability. </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Dhungel (2019) carried out a look at on the contribution of FDI to the trade stability in Nepal. The studies observed that FDI inflows positively impact the alternate balance with the aid of promoting export diversification. However, the study additionally highlighted that the quick-term blessings of FDI can be restricted with the aid of insufficient infrastructure and low institutional potential, which restrict the green usage of foreign capital. The take a look at recommended that to maximize the benefits of FDI at the change stability, emerging economies must cognizance on enhancing infrastructure and institutional frameworks. </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Sujianto and Azmi (2020) explored the association among authorities spending, inflation, change balance, and GDP in Indonesia. Their studye proven that authorities expenditure considerably stimulates GDP growth, mainly while inflation is controlled. The authors emphasized that fiscal regulations aimed at controlling inflation beautify the effectiveness of public spending, allowing government investments in infrastructure, healthcare, and education to stimulate financial interest. However, the look at additionally revealed that high inflation can undermine the effective consequences of government spending by using lowering patron shopping electricity and growing the price of doing business. Additionally, the authors observed that change deficits negatively impact GDP, highlighting the need for rising markets to enforce balanced alternate policies. This studies affords treasured insights into the complex interplay among monetary regulations, inflation manipulate, and trade balance in fostering monetary growth.</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lastRenderedPageBreak/>
        <w:t xml:space="preserve">Leiderman and Razin (1991) provided an early analysis of external imbalances, focusing on the position of taxes, government spending, and productiveness. The authors argued that government expenditure could either exacerbate or mitigate external imbalances, relying on how it is allocated. Productive government spending, such as investments in infrastructure and education, become located to enhance monetary performance, whilst excessive taxation or unproductive expenditure should result in continual imbalances. </w:t>
      </w:r>
    </w:p>
    <w:p w:rsidR="00BB1024" w:rsidRPr="00F61A0E" w:rsidRDefault="00243D89">
      <w:pPr>
        <w:spacing w:line="480" w:lineRule="auto"/>
        <w:rPr>
          <w:rFonts w:ascii="Times New Roman" w:hAnsi="Times New Roman" w:cs="Times New Roman"/>
          <w:sz w:val="24"/>
          <w:szCs w:val="24"/>
        </w:rPr>
      </w:pPr>
      <w:r w:rsidRPr="00F61A0E">
        <w:rPr>
          <w:rFonts w:ascii="Times New Roman" w:hAnsi="Times New Roman" w:cs="Times New Roman"/>
          <w:b/>
          <w:sz w:val="24"/>
          <w:szCs w:val="24"/>
        </w:rPr>
        <w:t>Gaps within the Literature</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While the reviewed studies provide valuable insights, numerous gaps persist. First, maximum studies focuses on specific areas or countries, limiting the generalizability of findings to broader emerging markets. For example, studies like the ones of Ridha and Parwanto (2020) and Dhungel (2019) are geographically constrained to Indonesia and Nepal, respectively. Second, few studies comprehensively analyze the blended consequences of FDI, government spending, and exchange stability on GDP boom, with most research analyzing these variables in isolation. This method overlooks potential interactions and complementarities amongst those factors. Third, many studies fail to cope with the dynamic nature of those variables, such as the long-time period evolution of FDI effects on alternate stability or how financial policies adapt to macroeconomic conditions. This observe addresses those gaps by means of employing a comprehensive econometric evaluation that concurrently examines the impact of FDI, government spending, and exchange balance on GDP growth in rising markets. By the usage of panel records from a couple of countries over a decade, this research provides a broader perspective at the determinants of economic growth while accounting for regional variations and dynamic interactions.</w:t>
      </w:r>
    </w:p>
    <w:p w:rsidR="00BB1024" w:rsidRPr="00F61A0E" w:rsidRDefault="00243D89">
      <w:pPr>
        <w:pStyle w:val="Heading1"/>
        <w:jc w:val="center"/>
        <w:rPr>
          <w:rFonts w:ascii="Times New Roman" w:hAnsi="Times New Roman" w:cs="Times New Roman"/>
          <w:sz w:val="24"/>
          <w:szCs w:val="24"/>
        </w:rPr>
      </w:pPr>
      <w:r w:rsidRPr="00F61A0E">
        <w:rPr>
          <w:rFonts w:ascii="Times New Roman" w:hAnsi="Times New Roman" w:cs="Times New Roman"/>
          <w:b/>
          <w:color w:val="000000" w:themeColor="text1"/>
          <w:sz w:val="24"/>
          <w:szCs w:val="24"/>
        </w:rPr>
        <w:lastRenderedPageBreak/>
        <w:t>Methodology</w:t>
      </w:r>
    </w:p>
    <w:p w:rsidR="005B7055" w:rsidRPr="00F61A0E" w:rsidRDefault="00243D89" w:rsidP="005B7055">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The FDI, government expenditure, and trade balance contribution is based on this econometric analysis, which ascertains the determinants of economic growth for the emerging markets. The panel data has been sourced from the World Bank and the International Monetary Fund pertaining to the 2010-2020 period, and to analyze it, the OLS method shall be used</w:t>
      </w:r>
      <w:r w:rsidR="006D04A9" w:rsidRPr="00F61A0E">
        <w:rPr>
          <w:rFonts w:ascii="Times New Roman" w:hAnsi="Times New Roman" w:cs="Times New Roman"/>
          <w:sz w:val="24"/>
          <w:szCs w:val="24"/>
        </w:rPr>
        <w:t xml:space="preserve"> World Bank. (2024).</w:t>
      </w:r>
      <w:r w:rsidRPr="00F61A0E">
        <w:rPr>
          <w:rFonts w:ascii="Times New Roman" w:hAnsi="Times New Roman" w:cs="Times New Roman"/>
          <w:sz w:val="24"/>
          <w:szCs w:val="24"/>
        </w:rPr>
        <w:t xml:space="preserve"> OLS regression is therefore suitable for the estimation of the linear relationship of variables, as it gives clarity and interpretability on how each independent variable contributes to explaining GDP growth. </w:t>
      </w:r>
    </w:p>
    <w:p w:rsidR="00BB1024" w:rsidRPr="00F61A0E" w:rsidRDefault="005B7055" w:rsidP="005B7055">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To strengthen the applied methodology, it is possible to use an empirical test by changing the independent or dependent variables to their logarithms, especially when the observed regression equation is non-linear, or the effect of inputs, shown in the course of the analysis, tends to decrease. For example, the authors may have made FDI and GDP Growth data be more in line with the model by logarithmically changing FDI and GDP Growth. Furthermore, it may be useful to consider testing hypotheses involving interaction terms of a number of factors including FDI, Government spending where the effect of one factor can be contingent upon the level of another examined factor. The selection of the 2010-2020 period is related to ease of data access for this period and its ability to reflect the recent economic conditions because of the on-going global changes and policies that have impacted the countries in the past ten years. Furthermore, it does so while using panel data which has the advantage of allowing to study changes over time and across different countries, while netting out any individual differences as well as making the findings more general in their nature.</w:t>
      </w:r>
    </w:p>
    <w:p w:rsidR="00BB1024" w:rsidRPr="00F61A0E" w:rsidRDefault="00243D89">
      <w:pPr>
        <w:pStyle w:val="Heading2"/>
        <w:rPr>
          <w:rFonts w:ascii="Times New Roman" w:hAnsi="Times New Roman" w:cs="Times New Roman"/>
          <w:sz w:val="24"/>
          <w:szCs w:val="24"/>
        </w:rPr>
      </w:pPr>
      <w:r w:rsidRPr="00F61A0E">
        <w:rPr>
          <w:rFonts w:ascii="Times New Roman" w:hAnsi="Times New Roman" w:cs="Times New Roman"/>
          <w:b/>
          <w:color w:val="000000" w:themeColor="text1"/>
          <w:sz w:val="24"/>
          <w:szCs w:val="24"/>
        </w:rPr>
        <w:t>Econometric Model Specification</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The econometric model is designed to quantify the impact of FDI, government spending, and trade balance on GDP growth in emerging markets. The model is specified as follows:</w:t>
      </w:r>
    </w:p>
    <w:p w:rsidR="00BB1024" w:rsidRPr="00F61A0E" w:rsidRDefault="00243D89">
      <w:pPr>
        <w:spacing w:after="0" w:line="480" w:lineRule="auto"/>
        <w:rPr>
          <w:rFonts w:ascii="Times New Roman" w:hAnsi="Times New Roman" w:cs="Times New Roman"/>
          <w:sz w:val="24"/>
          <w:szCs w:val="24"/>
        </w:rPr>
      </w:pPr>
      <w:r w:rsidRPr="00F61A0E">
        <w:rPr>
          <w:rFonts w:ascii="Times New Roman" w:hAnsi="Times New Roman" w:cs="Times New Roman"/>
          <w:sz w:val="24"/>
          <w:szCs w:val="24"/>
        </w:rPr>
        <w:lastRenderedPageBreak/>
        <w:t>GDP_it = β_0 + β_1 FDI_it + β_2 GOV_it + β_3 TRADE_it + ε_it</w:t>
      </w:r>
    </w:p>
    <w:p w:rsidR="00BB1024" w:rsidRPr="00F61A0E" w:rsidRDefault="00243D89">
      <w:pPr>
        <w:spacing w:line="480" w:lineRule="auto"/>
        <w:rPr>
          <w:rFonts w:ascii="Times New Roman" w:hAnsi="Times New Roman" w:cs="Times New Roman"/>
          <w:sz w:val="24"/>
          <w:szCs w:val="24"/>
        </w:rPr>
      </w:pPr>
      <w:r w:rsidRPr="00F61A0E">
        <w:rPr>
          <w:rFonts w:ascii="Times New Roman" w:hAnsi="Times New Roman" w:cs="Times New Roman"/>
          <w:sz w:val="24"/>
          <w:szCs w:val="24"/>
        </w:rPr>
        <w:t xml:space="preserve">Where: </w:t>
      </w:r>
      <w:r w:rsidRPr="00F61A0E">
        <w:rPr>
          <w:rFonts w:ascii="Times New Roman" w:hAnsi="Times New Roman" w:cs="Times New Roman"/>
          <w:sz w:val="24"/>
          <w:szCs w:val="24"/>
        </w:rPr>
        <w:br/>
        <w:t>- GDP_it: GDP growth rate of country is at time t (dependent variable).</w:t>
      </w:r>
      <w:r w:rsidRPr="00F61A0E">
        <w:rPr>
          <w:rFonts w:ascii="Times New Roman" w:hAnsi="Times New Roman" w:cs="Times New Roman"/>
          <w:sz w:val="24"/>
          <w:szCs w:val="24"/>
        </w:rPr>
        <w:br/>
        <w:t>- FDI_it: Foreign Direct Investment as a percentage of GDP for country i at time t.</w:t>
      </w:r>
      <w:r w:rsidRPr="00F61A0E">
        <w:rPr>
          <w:rFonts w:ascii="Times New Roman" w:hAnsi="Times New Roman" w:cs="Times New Roman"/>
          <w:sz w:val="24"/>
          <w:szCs w:val="24"/>
        </w:rPr>
        <w:br/>
        <w:t>- GOV_it: Government spending as a percentage of GDP for country i at time t.</w:t>
      </w:r>
      <w:r w:rsidRPr="00F61A0E">
        <w:rPr>
          <w:rFonts w:ascii="Times New Roman" w:hAnsi="Times New Roman" w:cs="Times New Roman"/>
          <w:sz w:val="24"/>
          <w:szCs w:val="24"/>
        </w:rPr>
        <w:br/>
        <w:t>- TRADE_it: Trade balance as a percentage of GDP for country i at time t.</w:t>
      </w:r>
      <w:r w:rsidRPr="00F61A0E">
        <w:rPr>
          <w:rFonts w:ascii="Times New Roman" w:hAnsi="Times New Roman" w:cs="Times New Roman"/>
          <w:sz w:val="24"/>
          <w:szCs w:val="24"/>
        </w:rPr>
        <w:br/>
        <w:t>- ε_it: Error term accounting for unexplained variations.</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This linear model assumes that the independent variables (FDI, government spending, and trade balance) collectively and independently influence GDP growth. The coefficients (β_1, β_2, β_3) capture the magnitude and direction of these relationships, with positive coefficients indicating growth-enhancing effects and negative coefficients signaling adverse impacts. By including panel data, the model accounts for cross-country variations and temporal trends, improving its explanatory power.</w:t>
      </w:r>
    </w:p>
    <w:p w:rsidR="00BB1024" w:rsidRPr="00F61A0E" w:rsidRDefault="00243D89">
      <w:pPr>
        <w:pStyle w:val="Heading2"/>
        <w:rPr>
          <w:rFonts w:ascii="Times New Roman" w:hAnsi="Times New Roman" w:cs="Times New Roman"/>
          <w:sz w:val="24"/>
          <w:szCs w:val="24"/>
        </w:rPr>
      </w:pPr>
      <w:r w:rsidRPr="00F61A0E">
        <w:rPr>
          <w:rFonts w:ascii="Times New Roman" w:hAnsi="Times New Roman" w:cs="Times New Roman"/>
          <w:b/>
          <w:color w:val="000000" w:themeColor="text1"/>
          <w:sz w:val="24"/>
          <w:szCs w:val="24"/>
        </w:rPr>
        <w:t>Explanation of OLS Regression and Diagnostic Tests</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Ordinary Least Squares (OLS) regression is one of the most widely used econometric techniques due to its simplicity, efficiency, and interpretability</w:t>
      </w:r>
      <w:r w:rsidR="00C45ECA">
        <w:rPr>
          <w:rFonts w:ascii="Times New Roman" w:hAnsi="Times New Roman" w:cs="Times New Roman"/>
          <w:sz w:val="24"/>
          <w:szCs w:val="24"/>
        </w:rPr>
        <w:t xml:space="preserve"> (</w:t>
      </w:r>
      <w:r w:rsidR="00C45ECA">
        <w:rPr>
          <w:rFonts w:ascii="Arial" w:hAnsi="Arial" w:cs="Arial"/>
          <w:color w:val="222222"/>
          <w:sz w:val="20"/>
          <w:szCs w:val="20"/>
          <w:shd w:val="clear" w:color="auto" w:fill="FFFFFF"/>
        </w:rPr>
        <w:t>Xue</w:t>
      </w:r>
      <w:r w:rsidR="00C45ECA">
        <w:rPr>
          <w:rFonts w:ascii="Arial" w:hAnsi="Arial" w:cs="Arial"/>
          <w:color w:val="222222"/>
          <w:sz w:val="20"/>
          <w:szCs w:val="20"/>
          <w:shd w:val="clear" w:color="auto" w:fill="FFFFFF"/>
        </w:rPr>
        <w:t>, 2024)</w:t>
      </w:r>
      <w:r w:rsidRPr="00F61A0E">
        <w:rPr>
          <w:rFonts w:ascii="Times New Roman" w:hAnsi="Times New Roman" w:cs="Times New Roman"/>
          <w:sz w:val="24"/>
          <w:szCs w:val="24"/>
        </w:rPr>
        <w:t xml:space="preserve">. It estimates the relationship between a dependent variable and one or more independent variables by minimizing the sum of the squared differences between observed and predicted values. When applied to our data, the method gives a regression line, conditional upon there being a perfect meet of CLRM assumptions, which turns out to be the best linear unbiased estimate, or BLUE, of the population parameters. However, OLS results are reliable only in conditions that satisfy certain important assumptions regarding the data on which it is performed: linearity of relationships, no multicollinearity, homoscedasticity of residuals, and no autocorrelation among residuals. To </w:t>
      </w:r>
      <w:r w:rsidRPr="00F61A0E">
        <w:rPr>
          <w:rFonts w:ascii="Times New Roman" w:hAnsi="Times New Roman" w:cs="Times New Roman"/>
          <w:sz w:val="24"/>
          <w:szCs w:val="24"/>
        </w:rPr>
        <w:lastRenderedPageBreak/>
        <w:t>check for linearity, the dependent variable is plotted against each of the independent variables in scatter plots.</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These plots help confirm whether the relationship between variables is approximately linear; non-linear patterns could undermine the precision of OLS estimates. The absence of multicollinearity means that the independent variables are not highly correlated, a pre-requisite for having stable and reliable coefficient estimates. Multicollinearity is normally checked with the use of the Variance Inflation Factor (VIF), with values above 5 viewed as indicating problematic correlations. Homoscedasticity is a condition whereby residual variance is constant across all levels of independent variables. Breusch-Pagan and White tests are used as the diagnostic tool in the detection of heteroscedasticity. A significant result from either of these two tests will indicate that residual variances are not constant.</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Last but not least, there is autocorrelation: a situation in which residuals are correlated across observations, which might be a common thing with time-series or panel data. First-order autocorrelation can normally be detected by the Durbin-Watson statistic, whose values close to 2 indicate no correlation. Deviations from this range suggest corrective action may be necessary. Diagnostic tests are indispensable in an econometric modeling. It proves if assumptions that lay foundation for OLS have been met</w:t>
      </w:r>
      <w:r w:rsidR="00C45ECA">
        <w:rPr>
          <w:rFonts w:ascii="Times New Roman" w:hAnsi="Times New Roman" w:cs="Times New Roman"/>
          <w:sz w:val="24"/>
          <w:szCs w:val="24"/>
        </w:rPr>
        <w:t xml:space="preserve"> (</w:t>
      </w:r>
      <w:r w:rsidR="00C45ECA">
        <w:rPr>
          <w:rFonts w:ascii="Arial" w:hAnsi="Arial" w:cs="Arial"/>
          <w:color w:val="222222"/>
          <w:sz w:val="20"/>
          <w:szCs w:val="20"/>
          <w:shd w:val="clear" w:color="auto" w:fill="FFFFFF"/>
        </w:rPr>
        <w:t>Zhang</w:t>
      </w:r>
      <w:r w:rsidR="00C45ECA">
        <w:rPr>
          <w:rFonts w:ascii="Arial" w:hAnsi="Arial" w:cs="Arial"/>
          <w:color w:val="222222"/>
          <w:sz w:val="20"/>
          <w:szCs w:val="20"/>
          <w:shd w:val="clear" w:color="auto" w:fill="FFFFFF"/>
        </w:rPr>
        <w:t xml:space="preserve"> et al., 2021)</w:t>
      </w:r>
      <w:r w:rsidRPr="00F61A0E">
        <w:rPr>
          <w:rFonts w:ascii="Times New Roman" w:hAnsi="Times New Roman" w:cs="Times New Roman"/>
          <w:sz w:val="24"/>
          <w:szCs w:val="24"/>
        </w:rPr>
        <w:t xml:space="preserve">. The assumptions thus guides and informs necessary adjustment that model may need so as to enhance dependability of findings of study. </w:t>
      </w:r>
    </w:p>
    <w:p w:rsidR="00DB00F5" w:rsidRPr="00F61A0E" w:rsidRDefault="00DB00F5">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In the diagnostic tests if the </w:t>
      </w:r>
      <w:r w:rsidR="00385415" w:rsidRPr="00F61A0E">
        <w:rPr>
          <w:rFonts w:ascii="Times New Roman" w:hAnsi="Times New Roman" w:cs="Times New Roman"/>
          <w:sz w:val="24"/>
          <w:szCs w:val="24"/>
        </w:rPr>
        <w:t>heteroscedasticity</w:t>
      </w:r>
      <w:r w:rsidRPr="00F61A0E">
        <w:rPr>
          <w:rFonts w:ascii="Times New Roman" w:hAnsi="Times New Roman" w:cs="Times New Roman"/>
          <w:sz w:val="24"/>
          <w:szCs w:val="24"/>
        </w:rPr>
        <w:t xml:space="preserve"> is found by Breusch-Pagan test, corrections can be performed by using robust standard errors. These errors mean that </w:t>
      </w:r>
      <w:r w:rsidR="00385415" w:rsidRPr="00F61A0E">
        <w:rPr>
          <w:rFonts w:ascii="Times New Roman" w:hAnsi="Times New Roman" w:cs="Times New Roman"/>
          <w:sz w:val="24"/>
          <w:szCs w:val="24"/>
        </w:rPr>
        <w:t>heteroscedasticity</w:t>
      </w:r>
      <w:r w:rsidRPr="00F61A0E">
        <w:rPr>
          <w:rFonts w:ascii="Times New Roman" w:hAnsi="Times New Roman" w:cs="Times New Roman"/>
          <w:sz w:val="24"/>
          <w:szCs w:val="24"/>
        </w:rPr>
        <w:t xml:space="preserve"> is accounted for, and gives better coefficient estimates and tests for significance. The second method is to perform some transformation on the variables, which usually </w:t>
      </w:r>
      <w:r w:rsidR="00385415" w:rsidRPr="00F61A0E">
        <w:rPr>
          <w:rFonts w:ascii="Times New Roman" w:hAnsi="Times New Roman" w:cs="Times New Roman"/>
          <w:sz w:val="24"/>
          <w:szCs w:val="24"/>
        </w:rPr>
        <w:t>cent rates</w:t>
      </w:r>
      <w:r w:rsidRPr="00F61A0E">
        <w:rPr>
          <w:rFonts w:ascii="Times New Roman" w:hAnsi="Times New Roman" w:cs="Times New Roman"/>
          <w:sz w:val="24"/>
          <w:szCs w:val="24"/>
        </w:rPr>
        <w:t xml:space="preserve"> the log of the variance of the variables and also reduces the impact of outliers. </w:t>
      </w:r>
      <w:r w:rsidRPr="00F61A0E">
        <w:rPr>
          <w:rFonts w:ascii="Times New Roman" w:hAnsi="Times New Roman" w:cs="Times New Roman"/>
          <w:sz w:val="24"/>
          <w:szCs w:val="24"/>
        </w:rPr>
        <w:lastRenderedPageBreak/>
        <w:t xml:space="preserve">In the case where autocorrelation is found to exist by using the Durbin-Watson test, the best method of dealing with the problem would be to use variables that are lagged. Through taking values of some independent or dependent variables from previous periods, lagged variables deal with the time dependency of the data set in assertions, leading to a dampening of autocorrelation. </w:t>
      </w:r>
    </w:p>
    <w:p w:rsidR="00BB1024" w:rsidRPr="00F61A0E" w:rsidRDefault="00243D89">
      <w:pPr>
        <w:pStyle w:val="Heading2"/>
        <w:rPr>
          <w:rFonts w:ascii="Times New Roman" w:hAnsi="Times New Roman" w:cs="Times New Roman"/>
          <w:sz w:val="24"/>
          <w:szCs w:val="24"/>
        </w:rPr>
      </w:pPr>
      <w:r w:rsidRPr="00F61A0E">
        <w:rPr>
          <w:rFonts w:ascii="Times New Roman" w:hAnsi="Times New Roman" w:cs="Times New Roman"/>
          <w:b/>
          <w:color w:val="000000" w:themeColor="text1"/>
          <w:sz w:val="24"/>
          <w:szCs w:val="24"/>
        </w:rPr>
        <w:t>Steps for Addressing Multicollinearity, Heteroscedasticity, and Autocorrelation</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The econometric problems of multicollinearity, heteroscedasticity, and autocorrelation need to be addressed in order not to jeopardize the robustness properties of OLS regression results. Each of these problems has its conditions and specific solutions that take into consideration the data and/or model specifications.</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b/>
          <w:sz w:val="24"/>
          <w:szCs w:val="24"/>
        </w:rPr>
        <w:t>Addressing Multicollinearity</w:t>
      </w:r>
      <w:r w:rsidRPr="00F61A0E">
        <w:rPr>
          <w:rFonts w:ascii="Times New Roman" w:hAnsi="Times New Roman" w:cs="Times New Roman"/>
          <w:sz w:val="24"/>
          <w:szCs w:val="24"/>
        </w:rPr>
        <w:t xml:space="preserve">:  Multicollinearity occurs when there is a high correlation between independent variables, which then inflates the standard errors, hence rendering the estimates of coefficients unreliable. In this regard, the VIF for each variable is computed. A VIF value greater than 5 indicates multicollinearity. The remedial measures involve removal of redundant variables, hence simplifying the model and removing overlaps. Interaction terms can also be added to explain the combined effect of two or more correlated variables. If multicollinearity persists, then PCA is an option to combine the correlated variables into one index but still retaining their explanatory powers. </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b/>
          <w:sz w:val="24"/>
          <w:szCs w:val="24"/>
        </w:rPr>
        <w:t xml:space="preserve">Dealing with Heteroscedasticity: </w:t>
      </w:r>
      <w:r w:rsidRPr="00F61A0E">
        <w:rPr>
          <w:rFonts w:ascii="Times New Roman" w:hAnsi="Times New Roman" w:cs="Times New Roman"/>
          <w:sz w:val="24"/>
          <w:szCs w:val="24"/>
        </w:rPr>
        <w:t xml:space="preserve">Heteroscedasticity violates the assumption of constant variance in residuals; thus, it makes the estimates inefficient and the hypothesis tests unreliable. The Breusch-Pagan and White tests are applied to check for heteroscedasticity. Application of heteroscedasticity-robust standard errors can be performed in cases where heteroscedasticity is found, ensuring that the significance tests are valid. Data transformation, such as taking the </w:t>
      </w:r>
      <w:r w:rsidRPr="00F61A0E">
        <w:rPr>
          <w:rFonts w:ascii="Times New Roman" w:hAnsi="Times New Roman" w:cs="Times New Roman"/>
          <w:sz w:val="24"/>
          <w:szCs w:val="24"/>
        </w:rPr>
        <w:lastRenderedPageBreak/>
        <w:t xml:space="preserve">logarithm of the dependent and independent variables, very often has the effect of stabilizing the variance since it compresses the scale of extreme values. </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b/>
          <w:sz w:val="24"/>
          <w:szCs w:val="24"/>
        </w:rPr>
        <w:t>Addressing Autocorrelation</w:t>
      </w:r>
      <w:r w:rsidRPr="00F61A0E">
        <w:rPr>
          <w:rFonts w:ascii="Times New Roman" w:hAnsi="Times New Roman" w:cs="Times New Roman"/>
          <w:sz w:val="24"/>
          <w:szCs w:val="24"/>
        </w:rPr>
        <w:t xml:space="preserve">: One common problem in time-series or panel data is the autocorrelation among residuals of one observation with another. This problem violates the assumption of independent errors, which lessens the efficiency of the OLS estimates. The Durbin-Watson test gives an indication of the presence and the extent of autocorrelation. Cochrane-Orcutt iterative procedure re-estimates the regression model with consideration of serial correlation of residuals. Another option, the Newey-West standard error approach, considers both problems of autocorrelation and heteroscedasticity simultaneously and, therefore, is a very flexible and robust solution. In cases with severe autocorrelation, one might also consider the inclusion of lagged variables in the model to capture temporal dependencies that will improve the accuracy of the model. </w:t>
      </w:r>
    </w:p>
    <w:p w:rsidR="00BB1024" w:rsidRPr="00F61A0E" w:rsidRDefault="00243D89">
      <w:pPr>
        <w:pStyle w:val="Heading1"/>
        <w:jc w:val="center"/>
        <w:rPr>
          <w:rFonts w:ascii="Times New Roman" w:hAnsi="Times New Roman" w:cs="Times New Roman"/>
          <w:sz w:val="24"/>
          <w:szCs w:val="24"/>
        </w:rPr>
      </w:pPr>
      <w:r w:rsidRPr="00F61A0E">
        <w:rPr>
          <w:rFonts w:ascii="Times New Roman" w:hAnsi="Times New Roman" w:cs="Times New Roman"/>
          <w:b/>
          <w:color w:val="000000" w:themeColor="text1"/>
          <w:sz w:val="24"/>
          <w:szCs w:val="24"/>
        </w:rPr>
        <w:t>Data</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The data to be used within this study will take GDP growth and three predictor variables: the FDI, government spending, and trade balance. The highest rate of GDP growth covers the annual percentage change of the value added products and service produced within each country's boundary. Hence, GDP is considered a key series to indicate performances. FDI as a percentage of GDP signifies net investment flow by foreign entities in a nation and reflects the country's attractiveness to an outsider investor. Openness to the outside world represents the extent an economy has opened its external sector. Government spending involves fiscal activity: The latter, as a ratio of GDP, is a measure of government expenditure on infrastructure, education, health, and social services. Finally, trade balance, expressed as a percentage difference of a country's GDP between its exports and imports, becomes an indicator of </w:t>
      </w:r>
      <w:r w:rsidRPr="00F61A0E">
        <w:rPr>
          <w:rFonts w:ascii="Times New Roman" w:hAnsi="Times New Roman" w:cs="Times New Roman"/>
          <w:sz w:val="24"/>
          <w:szCs w:val="24"/>
        </w:rPr>
        <w:lastRenderedPageBreak/>
        <w:t>competitiveness of a country in international markets and of its dependence on international markets. These variables have been selected since they are theoretically and empirically relevant for influencing growth, especially in the context of emerging markets.</w:t>
      </w:r>
    </w:p>
    <w:p w:rsidR="00BB1024" w:rsidRPr="00F61A0E" w:rsidRDefault="00243D89">
      <w:pPr>
        <w:pStyle w:val="Heading2"/>
        <w:rPr>
          <w:rFonts w:ascii="Times New Roman" w:hAnsi="Times New Roman" w:cs="Times New Roman"/>
          <w:sz w:val="24"/>
          <w:szCs w:val="24"/>
        </w:rPr>
      </w:pPr>
      <w:r w:rsidRPr="00F61A0E">
        <w:rPr>
          <w:rFonts w:ascii="Times New Roman" w:hAnsi="Times New Roman" w:cs="Times New Roman"/>
          <w:b/>
          <w:color w:val="000000" w:themeColor="text1"/>
          <w:sz w:val="24"/>
          <w:szCs w:val="24"/>
        </w:rPr>
        <w:t>Description of Dependent and Independent Variables</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The dependent variable for this study is GDP growth, the major indicator to measure economic performance in the selected emerging markets. GDP growth can be defined as the percent change in the value of all goods and services produced within the economy in one year, adjusted for inflation. This is a general and broad measure that is widely accepted as indicative of total economic health, indicating short-term economic activities as well as long-term growth trends. The growth rate may be susceptible to influence from different determinants, such as domestic investments, technological changes, changes in consumer spending, and also economic conditions outside the domestic environment. </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Among independent variables included are FDI, government spending, and balance of trade, which drive GDP growth in the view of different scholars and economists, into three emerging economies</w:t>
      </w:r>
      <w:r w:rsidR="006D05D6">
        <w:rPr>
          <w:rFonts w:ascii="Times New Roman" w:hAnsi="Times New Roman" w:cs="Times New Roman"/>
          <w:sz w:val="24"/>
          <w:szCs w:val="24"/>
        </w:rPr>
        <w:t xml:space="preserve"> (</w:t>
      </w:r>
      <w:r w:rsidR="006D05D6">
        <w:rPr>
          <w:rFonts w:ascii="Arial" w:hAnsi="Arial" w:cs="Arial"/>
          <w:color w:val="222222"/>
          <w:sz w:val="20"/>
          <w:szCs w:val="20"/>
          <w:shd w:val="clear" w:color="auto" w:fill="FFFFFF"/>
        </w:rPr>
        <w:t>AL-MUTAIRI</w:t>
      </w:r>
      <w:r w:rsidR="006D05D6">
        <w:rPr>
          <w:rFonts w:ascii="Arial" w:hAnsi="Arial" w:cs="Arial"/>
          <w:color w:val="222222"/>
          <w:sz w:val="20"/>
          <w:szCs w:val="20"/>
          <w:shd w:val="clear" w:color="auto" w:fill="FFFFFF"/>
        </w:rPr>
        <w:t xml:space="preserve"> et al., 2024)</w:t>
      </w:r>
      <w:r w:rsidRPr="00F61A0E">
        <w:rPr>
          <w:rFonts w:ascii="Times New Roman" w:hAnsi="Times New Roman" w:cs="Times New Roman"/>
          <w:sz w:val="24"/>
          <w:szCs w:val="24"/>
        </w:rPr>
        <w:t xml:space="preserve">. The foreign direct investments are determined to be investments from foreign organizations expressed as a country's gross domestic product percentage. FDI plays an important role in emerging markets, as it offers access to capital, technology, and international markets that may improve productivity and economic growth. It is assumed that a higher level of FDI positively influences GDP growth because investments can modernize industries, make them more efficient, and create jobs. Government spending is another major independent variable, measured here as a percentage of GDP. It also reflects fiscal policy because it gives an impression of the size of investment by the public in terms of infrastructure, education, health, and defense. Well-targeted public expenditure has the capacity </w:t>
      </w:r>
      <w:r w:rsidRPr="00F61A0E">
        <w:rPr>
          <w:rFonts w:ascii="Times New Roman" w:hAnsi="Times New Roman" w:cs="Times New Roman"/>
          <w:sz w:val="24"/>
          <w:szCs w:val="24"/>
        </w:rPr>
        <w:lastRenderedPageBreak/>
        <w:t>to trigger off more economic activities and long-term growth in productivity, while inefficient or excessive public expenditure risks crowding out private investments with fiscal imbalance</w:t>
      </w:r>
      <w:r w:rsidR="00385415">
        <w:rPr>
          <w:rFonts w:ascii="Times New Roman" w:hAnsi="Times New Roman" w:cs="Times New Roman"/>
          <w:sz w:val="24"/>
          <w:szCs w:val="24"/>
        </w:rPr>
        <w:t>.</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This dataset covers the 2010–2020 period, where data from the emerging market group is diverse in nature. Panel data will be used to capture variation in both the temporal and cross-sectional dimensions, a situation which is favorable in the examination of economic growth dynamics over time across countries. In this way, it could consider the country-specific features, such as geography, that are constant over time, while it also captures time-specific features, like global economic trends. Panel data makes the econometric model robust by enhancing the statistical power and reducing biases in the parameter estimates. </w:t>
      </w:r>
    </w:p>
    <w:p w:rsidR="00BB1024" w:rsidRPr="00F61A0E" w:rsidRDefault="00243D89">
      <w:pPr>
        <w:pStyle w:val="Heading2"/>
        <w:rPr>
          <w:rFonts w:ascii="Times New Roman" w:hAnsi="Times New Roman" w:cs="Times New Roman"/>
          <w:sz w:val="24"/>
          <w:szCs w:val="24"/>
        </w:rPr>
      </w:pPr>
      <w:r w:rsidRPr="00F61A0E">
        <w:rPr>
          <w:rFonts w:ascii="Times New Roman" w:hAnsi="Times New Roman" w:cs="Times New Roman"/>
          <w:b/>
          <w:color w:val="000000" w:themeColor="text1"/>
          <w:sz w:val="24"/>
          <w:szCs w:val="24"/>
        </w:rPr>
        <w:t>Sources and Challenges</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 Primary data sources in this paper come from globally renowned organizations to ensure the dataset is valid and robust. GDP growth data sources are taken from the World Bank's WDI, considered a sound source for global economic statistics</w:t>
      </w:r>
      <w:r w:rsidR="005D6194">
        <w:rPr>
          <w:rFonts w:ascii="Times New Roman" w:hAnsi="Times New Roman" w:cs="Times New Roman"/>
          <w:sz w:val="24"/>
          <w:szCs w:val="24"/>
        </w:rPr>
        <w:t xml:space="preserve"> (</w:t>
      </w:r>
      <w:r w:rsidR="005D6194">
        <w:rPr>
          <w:rFonts w:ascii="Arial" w:hAnsi="Arial" w:cs="Arial"/>
          <w:color w:val="222222"/>
          <w:sz w:val="20"/>
          <w:szCs w:val="20"/>
          <w:shd w:val="clear" w:color="auto" w:fill="FFFFFF"/>
        </w:rPr>
        <w:t>Islam</w:t>
      </w:r>
      <w:r w:rsidR="005D6194">
        <w:rPr>
          <w:rFonts w:ascii="Arial" w:hAnsi="Arial" w:cs="Arial"/>
          <w:color w:val="222222"/>
          <w:sz w:val="20"/>
          <w:szCs w:val="20"/>
          <w:shd w:val="clear" w:color="auto" w:fill="FFFFFF"/>
        </w:rPr>
        <w:t xml:space="preserve"> </w:t>
      </w:r>
      <w:r w:rsidR="005D6194">
        <w:rPr>
          <w:rFonts w:ascii="Arial" w:hAnsi="Arial" w:cs="Arial"/>
          <w:color w:val="222222"/>
          <w:sz w:val="20"/>
          <w:szCs w:val="20"/>
          <w:shd w:val="clear" w:color="auto" w:fill="FFFFFF"/>
        </w:rPr>
        <w:t>&amp; Lederman</w:t>
      </w:r>
      <w:r w:rsidR="005D6194">
        <w:rPr>
          <w:rFonts w:ascii="Arial" w:hAnsi="Arial" w:cs="Arial"/>
          <w:color w:val="222222"/>
          <w:sz w:val="20"/>
          <w:szCs w:val="20"/>
          <w:shd w:val="clear" w:color="auto" w:fill="FFFFFF"/>
        </w:rPr>
        <w:t>, 2024)</w:t>
      </w:r>
      <w:r w:rsidRPr="00F61A0E">
        <w:rPr>
          <w:rFonts w:ascii="Times New Roman" w:hAnsi="Times New Roman" w:cs="Times New Roman"/>
          <w:sz w:val="24"/>
          <w:szCs w:val="24"/>
        </w:rPr>
        <w:t>. FDI data has been extracted from the United Nations Conference on Trade and Development, which offers an elaborate database on foreign investment covering Greenfield investments as well as mergers/acquisition deals. Government spending data come from the International Monetary Fund's Fiscal Monitor and display detailed fiscal accounts across countries</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However, the collection and preparation of such data were pretty challenging. Missing data are a serious problem, sometimes because of inadequate resources or capacity of statistical systems in smaller or less developed countries. For example, countries might not report fiscal data on a particular year, and interpolations would be needed to complete the series. Besides, differences in reporting methodologies at country level require standardization with care. For example, some countries report government spending by functional category-e.g., education or </w:t>
      </w:r>
      <w:r w:rsidRPr="00F61A0E">
        <w:rPr>
          <w:rFonts w:ascii="Times New Roman" w:hAnsi="Times New Roman" w:cs="Times New Roman"/>
          <w:sz w:val="24"/>
          <w:szCs w:val="24"/>
        </w:rPr>
        <w:lastRenderedPageBreak/>
        <w:t>health-while others group those categories into broader headings; in such cases, only aggregate expenditure can be distinguished between potentially productive and non-productive. Monetary data like those on FDI inflows, government spending also need to be adjusted for both inflation and changes in relative exchange rates.</w:t>
      </w:r>
    </w:p>
    <w:p w:rsidR="00BB1024" w:rsidRPr="00F61A0E" w:rsidRDefault="00243D89">
      <w:pPr>
        <w:pStyle w:val="Heading2"/>
        <w:rPr>
          <w:rFonts w:ascii="Times New Roman" w:hAnsi="Times New Roman" w:cs="Times New Roman"/>
          <w:sz w:val="24"/>
          <w:szCs w:val="24"/>
        </w:rPr>
      </w:pPr>
      <w:r w:rsidRPr="00F61A0E">
        <w:rPr>
          <w:rFonts w:ascii="Times New Roman" w:hAnsi="Times New Roman" w:cs="Times New Roman"/>
          <w:b/>
          <w:color w:val="000000" w:themeColor="text1"/>
          <w:sz w:val="24"/>
          <w:szCs w:val="24"/>
        </w:rPr>
        <w:t>Summary Statistics</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Summary statistics help to give an overview of the distribution and dispersion of key variables in the dataset. GDP growth, the dependent variable, experienced an average annual growth rate of 4.2% for the entire sample, with a standard deviation of 2.8%. This variability again reflects the diverse economic condition of emerging markets. Rates such as more than 6% on an annual base are constantly present for such high-growth economies like India and Vietnam. Still, other developing market groups include countries experiencing the consequences of lower or even negative economic growth, which sometimes becomes disastrous regarding all growth estimates, just as one had from the case of South Africa during times of severe recession or political instability. Overall, FDI/GDP percentage is at 3.5% average per capita while highly fluctuating-peak for resource-rich economies is observed exceeding beyond 8%, represented here in Kazakhstan, though inversely less attractive nations invest merely single values less than 1%, mostly situated amidst volatile regional states. On average, government spending accounted for about 20% of GDP with a standard deviation of 6%. </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Countries like Brazil and South Africa invest a large share of their GDP in public expenditures as triggered by large infrastructure projects and social programs</w:t>
      </w:r>
      <w:r w:rsidR="000C694E">
        <w:rPr>
          <w:rFonts w:ascii="Times New Roman" w:hAnsi="Times New Roman" w:cs="Times New Roman"/>
          <w:sz w:val="24"/>
          <w:szCs w:val="24"/>
        </w:rPr>
        <w:t xml:space="preserve"> (</w:t>
      </w:r>
      <w:r w:rsidR="000C694E">
        <w:rPr>
          <w:rFonts w:ascii="Arial" w:hAnsi="Arial" w:cs="Arial"/>
          <w:color w:val="222222"/>
          <w:sz w:val="20"/>
          <w:szCs w:val="20"/>
          <w:shd w:val="clear" w:color="auto" w:fill="FFFFFF"/>
        </w:rPr>
        <w:t>Foster et al., 2022)</w:t>
      </w:r>
      <w:r w:rsidRPr="00F61A0E">
        <w:rPr>
          <w:rFonts w:ascii="Times New Roman" w:hAnsi="Times New Roman" w:cs="Times New Roman"/>
          <w:sz w:val="24"/>
          <w:szCs w:val="24"/>
        </w:rPr>
        <w:t xml:space="preserve">. For economies with smaller sizes, fiscal capacity may be somewhat constricted, leading to lower spending ratios. The average trade balance is close to zero, implying overall equilibrium. However, the performances of different countries are not the same. Economies like Malaysia </w:t>
      </w:r>
      <w:r w:rsidRPr="00F61A0E">
        <w:rPr>
          <w:rFonts w:ascii="Times New Roman" w:hAnsi="Times New Roman" w:cs="Times New Roman"/>
          <w:sz w:val="24"/>
          <w:szCs w:val="24"/>
        </w:rPr>
        <w:lastRenderedPageBreak/>
        <w:t xml:space="preserve">have maintained continuous trade surplus, thereby supporting their economic growth, while countries such as Pakistan have structural deficits in their trade balance, which makes them economically vulnerable to excessive imports. These summary statistics hint at the heterogeneity amongst emerging markets and the necessity of policy intervention at a national level, specific to the </w:t>
      </w:r>
      <w:r w:rsidR="00385415">
        <w:rPr>
          <w:rFonts w:ascii="Times New Roman" w:hAnsi="Times New Roman" w:cs="Times New Roman"/>
          <w:sz w:val="24"/>
          <w:szCs w:val="24"/>
        </w:rPr>
        <w:t xml:space="preserve">needs of individual countries. </w:t>
      </w:r>
    </w:p>
    <w:p w:rsidR="00BB1024" w:rsidRPr="00F61A0E" w:rsidRDefault="00243D89">
      <w:pPr>
        <w:pStyle w:val="Heading3"/>
        <w:spacing w:line="480" w:lineRule="auto"/>
        <w:ind w:firstLine="720"/>
        <w:rPr>
          <w:rFonts w:ascii="Times New Roman" w:hAnsi="Times New Roman" w:cs="Times New Roman"/>
          <w:b/>
          <w:bCs/>
          <w:color w:val="000000"/>
        </w:rPr>
      </w:pPr>
      <w:r w:rsidRPr="00F61A0E">
        <w:rPr>
          <w:rFonts w:ascii="Times New Roman" w:hAnsi="Times New Roman" w:cs="Times New Roman"/>
          <w:b/>
          <w:bCs/>
          <w:color w:val="000000"/>
        </w:rPr>
        <w:t>Descriptive Statistics</w:t>
      </w:r>
    </w:p>
    <w:p w:rsidR="00BB1024" w:rsidRPr="00F61A0E" w:rsidRDefault="00243D89">
      <w:pPr>
        <w:pStyle w:val="BodyText"/>
        <w:rPr>
          <w:rFonts w:ascii="Times New Roman" w:hAnsi="Times New Roman" w:cs="Times New Roman"/>
          <w:sz w:val="24"/>
          <w:szCs w:val="24"/>
        </w:rPr>
      </w:pPr>
      <w:r w:rsidRPr="00F61A0E">
        <w:rPr>
          <w:rFonts w:ascii="Times New Roman" w:hAnsi="Times New Roman" w:cs="Times New Roman"/>
          <w:sz w:val="24"/>
          <w:szCs w:val="24"/>
        </w:rPr>
        <w:t>The summary of the descriptive analysis gives the basic measures of Gross Domestic Product (GDP) growth, foreign direct investment, government spending, and the trade balance. Table 1 displays the descriptive statistics of such features; actual mean, standard deviation, minimum and maximum values are shown here to review their overall dispersion of these variables across the sampling of countries and years.</w:t>
      </w:r>
    </w:p>
    <w:tbl>
      <w:tblPr>
        <w:tblW w:w="8211" w:type="dxa"/>
        <w:tblInd w:w="-5" w:type="dxa"/>
        <w:tblLayout w:type="fixed"/>
        <w:tblCellMar>
          <w:top w:w="55" w:type="dxa"/>
          <w:left w:w="55" w:type="dxa"/>
          <w:bottom w:w="55" w:type="dxa"/>
          <w:right w:w="55" w:type="dxa"/>
        </w:tblCellMar>
        <w:tblLook w:val="04A0" w:firstRow="1" w:lastRow="0" w:firstColumn="1" w:lastColumn="0" w:noHBand="0" w:noVBand="1"/>
      </w:tblPr>
      <w:tblGrid>
        <w:gridCol w:w="2830"/>
        <w:gridCol w:w="950"/>
        <w:gridCol w:w="1889"/>
        <w:gridCol w:w="1279"/>
        <w:gridCol w:w="1263"/>
      </w:tblGrid>
      <w:tr w:rsidR="00BB1024" w:rsidRPr="00F61A0E">
        <w:trPr>
          <w:tblHeader/>
        </w:trPr>
        <w:tc>
          <w:tcPr>
            <w:tcW w:w="2830"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Variable</w:t>
            </w:r>
          </w:p>
        </w:tc>
        <w:tc>
          <w:tcPr>
            <w:tcW w:w="950"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Mean</w:t>
            </w:r>
          </w:p>
        </w:tc>
        <w:tc>
          <w:tcPr>
            <w:tcW w:w="1889"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Standard Deviation</w:t>
            </w:r>
          </w:p>
        </w:tc>
        <w:tc>
          <w:tcPr>
            <w:tcW w:w="1279"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Minimum</w:t>
            </w:r>
          </w:p>
        </w:tc>
        <w:tc>
          <w:tcPr>
            <w:tcW w:w="1263"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Maximum</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GDP Growth (%)</w:t>
            </w:r>
          </w:p>
        </w:tc>
        <w:tc>
          <w:tcPr>
            <w:tcW w:w="95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4.2</w:t>
            </w:r>
          </w:p>
        </w:tc>
        <w:tc>
          <w:tcPr>
            <w:tcW w:w="188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2.8</w:t>
            </w:r>
          </w:p>
        </w:tc>
        <w:tc>
          <w:tcPr>
            <w:tcW w:w="127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-1.5</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9.3</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FDI (% of GDP)</w:t>
            </w:r>
          </w:p>
        </w:tc>
        <w:tc>
          <w:tcPr>
            <w:tcW w:w="95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3.5</w:t>
            </w:r>
          </w:p>
        </w:tc>
        <w:tc>
          <w:tcPr>
            <w:tcW w:w="188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2.1</w:t>
            </w:r>
          </w:p>
        </w:tc>
        <w:tc>
          <w:tcPr>
            <w:tcW w:w="127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0.7</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8.4</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Government Spending (%)</w:t>
            </w:r>
          </w:p>
        </w:tc>
        <w:tc>
          <w:tcPr>
            <w:tcW w:w="95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20.0</w:t>
            </w:r>
          </w:p>
        </w:tc>
        <w:tc>
          <w:tcPr>
            <w:tcW w:w="188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6.0</w:t>
            </w:r>
          </w:p>
        </w:tc>
        <w:tc>
          <w:tcPr>
            <w:tcW w:w="127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10.2</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32.4</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Trade Balance (% of GDP)</w:t>
            </w:r>
          </w:p>
        </w:tc>
        <w:tc>
          <w:tcPr>
            <w:tcW w:w="95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0.0</w:t>
            </w:r>
          </w:p>
        </w:tc>
        <w:tc>
          <w:tcPr>
            <w:tcW w:w="188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3.7</w:t>
            </w:r>
          </w:p>
        </w:tc>
        <w:tc>
          <w:tcPr>
            <w:tcW w:w="127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-6.5</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5.4</w:t>
            </w:r>
          </w:p>
        </w:tc>
      </w:tr>
    </w:tbl>
    <w:p w:rsidR="00BB1024" w:rsidRPr="00F61A0E" w:rsidRDefault="00243D89">
      <w:pPr>
        <w:spacing w:line="480" w:lineRule="auto"/>
        <w:ind w:firstLine="720"/>
        <w:rPr>
          <w:rFonts w:ascii="Times New Roman" w:hAnsi="Times New Roman" w:cs="Times New Roman"/>
          <w:b/>
          <w:bCs/>
          <w:sz w:val="24"/>
          <w:szCs w:val="24"/>
        </w:rPr>
      </w:pPr>
      <w:r w:rsidRPr="00F61A0E">
        <w:rPr>
          <w:rFonts w:ascii="Times New Roman" w:hAnsi="Times New Roman" w:cs="Times New Roman"/>
          <w:b/>
          <w:bCs/>
          <w:sz w:val="24"/>
          <w:szCs w:val="24"/>
        </w:rPr>
        <w:t>Interpretation of the Descriptive statistics.</w:t>
      </w:r>
    </w:p>
    <w:p w:rsidR="00BB1024" w:rsidRPr="00F61A0E" w:rsidRDefault="00243D89">
      <w:pPr>
        <w:spacing w:line="480" w:lineRule="auto"/>
        <w:ind w:firstLine="720"/>
        <w:rPr>
          <w:rFonts w:ascii="Times New Roman" w:hAnsi="Times New Roman" w:cs="Times New Roman"/>
          <w:b/>
          <w:bCs/>
          <w:sz w:val="24"/>
          <w:szCs w:val="24"/>
        </w:rPr>
      </w:pPr>
      <w:r w:rsidRPr="00F61A0E">
        <w:rPr>
          <w:rFonts w:ascii="Times New Roman" w:hAnsi="Times New Roman" w:cs="Times New Roman"/>
          <w:b/>
          <w:bCs/>
          <w:sz w:val="24"/>
          <w:szCs w:val="24"/>
        </w:rPr>
        <w:t>GDP Growth:</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The mean GDP in the sampled countries is 4.2%, meaning moderate economy growth on the average for the sampled countries. Nevertheless, the coefficients of variation of 2.8% indicate a relatively large spread in the growth rate due to the heterogeneity of emerging economies. India and Vietnam among the economies has a very a high growth rates close to 9%Improvements principally in industrial activities and globalization, and others like South Africa have sometimes </w:t>
      </w:r>
      <w:r w:rsidRPr="00F61A0E">
        <w:rPr>
          <w:rFonts w:ascii="Times New Roman" w:hAnsi="Times New Roman" w:cs="Times New Roman"/>
          <w:sz w:val="24"/>
          <w:szCs w:val="24"/>
        </w:rPr>
        <w:lastRenderedPageBreak/>
        <w:t>stagnated or have even declined sharply in certain years. This variation raises questions that deal with the factors explaining cross-country differences in the growth rate.</w:t>
      </w:r>
    </w:p>
    <w:p w:rsidR="00BB1024" w:rsidRPr="00F61A0E" w:rsidRDefault="00243D89">
      <w:pPr>
        <w:spacing w:line="480" w:lineRule="auto"/>
        <w:ind w:firstLine="720"/>
        <w:rPr>
          <w:rFonts w:ascii="Times New Roman" w:hAnsi="Times New Roman" w:cs="Times New Roman"/>
          <w:b/>
          <w:bCs/>
          <w:sz w:val="24"/>
          <w:szCs w:val="24"/>
        </w:rPr>
      </w:pPr>
      <w:r w:rsidRPr="00F61A0E">
        <w:rPr>
          <w:rFonts w:ascii="Times New Roman" w:hAnsi="Times New Roman" w:cs="Times New Roman"/>
          <w:b/>
          <w:bCs/>
          <w:sz w:val="24"/>
          <w:szCs w:val="24"/>
        </w:rPr>
        <w:t>Foreign Direct Investment (FDI):</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It is 3.5% with 2.1% as the standard deviation of average FDI inflow/GDP. Such a wide variation indicates variation in the level of development of countries which are able to attract foreign investments</w:t>
      </w:r>
      <w:r w:rsidR="00A4249A">
        <w:rPr>
          <w:rFonts w:ascii="Times New Roman" w:hAnsi="Times New Roman" w:cs="Times New Roman"/>
          <w:sz w:val="24"/>
          <w:szCs w:val="24"/>
        </w:rPr>
        <w:t>.</w:t>
      </w:r>
      <w:bookmarkStart w:id="0" w:name="_GoBack"/>
      <w:bookmarkEnd w:id="0"/>
      <w:r w:rsidR="00050A14" w:rsidRPr="00050A14">
        <w:rPr>
          <w:rFonts w:ascii="Times New Roman" w:hAnsi="Times New Roman" w:cs="Times New Roman"/>
          <w:sz w:val="24"/>
          <w:szCs w:val="24"/>
        </w:rPr>
        <w:t xml:space="preserve"> </w:t>
      </w:r>
      <w:r w:rsidR="00050A14" w:rsidRPr="00F61A0E">
        <w:rPr>
          <w:rFonts w:ascii="Times New Roman" w:hAnsi="Times New Roman" w:cs="Times New Roman"/>
          <w:sz w:val="24"/>
          <w:szCs w:val="24"/>
        </w:rPr>
        <w:t>World Bank. (2024).</w:t>
      </w:r>
      <w:r w:rsidRPr="00F61A0E">
        <w:rPr>
          <w:rFonts w:ascii="Times New Roman" w:hAnsi="Times New Roman" w:cs="Times New Roman"/>
          <w:sz w:val="24"/>
          <w:szCs w:val="24"/>
        </w:rPr>
        <w:t xml:space="preserve"> Developed countries with excessive endowments of natural resources for example Kazakhstan enjoys FDI more than 8 %. On the other hand politically unstable or less developed economic aggregates attract very low FDI ratios below 1% on average. These trends clearly show the need for conditions to be prepared for direct foreign investment to spur growth.</w:t>
      </w:r>
    </w:p>
    <w:p w:rsidR="00BB1024" w:rsidRPr="00F61A0E" w:rsidRDefault="00243D89">
      <w:pPr>
        <w:spacing w:line="480" w:lineRule="auto"/>
        <w:ind w:firstLine="720"/>
        <w:rPr>
          <w:rFonts w:ascii="Times New Roman" w:hAnsi="Times New Roman" w:cs="Times New Roman"/>
          <w:b/>
          <w:bCs/>
          <w:sz w:val="24"/>
          <w:szCs w:val="24"/>
        </w:rPr>
      </w:pPr>
      <w:r w:rsidRPr="00F61A0E">
        <w:rPr>
          <w:rFonts w:ascii="Times New Roman" w:hAnsi="Times New Roman" w:cs="Times New Roman"/>
          <w:b/>
          <w:bCs/>
          <w:sz w:val="24"/>
          <w:szCs w:val="24"/>
        </w:rPr>
        <w:t>Government Spending:</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Government spending represent an average of 20% of GDP, with an average standard error of 6%. The expenditure ratios to fiscal funds in the emerging market countries like Brazil and South Africa remain high, with expenditures on infrastructure and social programs raised to more than 30% in some years. While large or wealthy countries can afford high values of government spending, smaller or financially less endowed nations are likely to record lower values. It shows the divergence of policy directions and revenue sources from country to country in emerging markets making direction towards a proper and sensible public expenditure.</w:t>
      </w:r>
    </w:p>
    <w:p w:rsidR="00BB1024" w:rsidRPr="00F61A0E" w:rsidRDefault="00243D89">
      <w:pPr>
        <w:spacing w:line="480" w:lineRule="auto"/>
        <w:ind w:firstLine="720"/>
        <w:rPr>
          <w:rFonts w:ascii="Times New Roman" w:hAnsi="Times New Roman" w:cs="Times New Roman"/>
          <w:b/>
          <w:bCs/>
          <w:sz w:val="24"/>
          <w:szCs w:val="24"/>
        </w:rPr>
      </w:pPr>
      <w:r w:rsidRPr="00F61A0E">
        <w:rPr>
          <w:rFonts w:ascii="Times New Roman" w:hAnsi="Times New Roman" w:cs="Times New Roman"/>
          <w:b/>
          <w:bCs/>
          <w:sz w:val="24"/>
          <w:szCs w:val="24"/>
        </w:rPr>
        <w:t>Trade Balance:</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For the average of the countries under study, the trade balance is near zero; hence we obtain a balance between export and import values. However, the mean of 3.7% shows that there are significant differences. For some nations, notably Malaysia, there is a discernible trade </w:t>
      </w:r>
      <w:r w:rsidRPr="00F61A0E">
        <w:rPr>
          <w:rFonts w:ascii="Times New Roman" w:hAnsi="Times New Roman" w:cs="Times New Roman"/>
          <w:sz w:val="24"/>
          <w:szCs w:val="24"/>
        </w:rPr>
        <w:lastRenderedPageBreak/>
        <w:t>surplus owing, mainly, to vibrant exports, while there are others, for instance, Pakistan, marked by chronic trade deficits because of high import coefficients. They do this while pointing at the role of trade policies and Export diversification strategies in influencing economic performances.</w:t>
      </w:r>
    </w:p>
    <w:p w:rsidR="00BB1024" w:rsidRPr="00F61A0E"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However, it is imperative first to conduct a few pieces of descriptive analysis for a better understanding of the dispersion and fluctuations in the results of this study regarding the special variables. The findings point to the fact that emerging markets can exhibit significant heterogeneity, therefore, policy prescriptions have to be unique to each country.</w:t>
      </w:r>
    </w:p>
    <w:p w:rsidR="00BB1024" w:rsidRPr="00F61A0E" w:rsidRDefault="00243D89">
      <w:pPr>
        <w:spacing w:line="480" w:lineRule="auto"/>
        <w:ind w:firstLine="720"/>
        <w:jc w:val="center"/>
        <w:rPr>
          <w:rFonts w:ascii="Times New Roman" w:hAnsi="Times New Roman" w:cs="Times New Roman"/>
          <w:sz w:val="24"/>
          <w:szCs w:val="24"/>
        </w:rPr>
      </w:pPr>
      <w:r w:rsidRPr="00F61A0E">
        <w:rPr>
          <w:rFonts w:ascii="Times New Roman" w:hAnsi="Times New Roman" w:cs="Times New Roman"/>
          <w:b/>
          <w:sz w:val="24"/>
          <w:szCs w:val="24"/>
        </w:rPr>
        <w:t>Results</w:t>
      </w:r>
    </w:p>
    <w:p w:rsidR="00BB1024" w:rsidRDefault="00243D89">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This section presents the results of the regression analysis from the econometric estimations done using Ordinary Least Squares regression, which estimated the relationships of GDP growth to independent variables like FDI, government spending, and trade balance. The results are presented in tabular format and significance levels starred accordingly. The coefficients are interpreted with their economic impact, and diagnostic tests have been performed to check the validity of the regression model. Finally, unexpected findings are discussed in light of economic theory and possible implications for emerging markets.</w:t>
      </w:r>
    </w:p>
    <w:p w:rsidR="005C3C10" w:rsidRPr="005C3C10" w:rsidRDefault="005C3C10" w:rsidP="005C3C10">
      <w:pPr>
        <w:rPr>
          <w:b/>
        </w:rPr>
      </w:pPr>
      <w:r w:rsidRPr="005C3C10">
        <w:rPr>
          <w:b/>
          <w:noProof/>
        </w:rPr>
        <w:drawing>
          <wp:anchor distT="0" distB="0" distL="114300" distR="114300" simplePos="0" relativeHeight="251665408" behindDoc="0" locked="0" layoutInCell="1" allowOverlap="1" wp14:anchorId="44129EE1" wp14:editId="1965F46F">
            <wp:simplePos x="0" y="0"/>
            <wp:positionH relativeFrom="column">
              <wp:posOffset>135187</wp:posOffset>
            </wp:positionH>
            <wp:positionV relativeFrom="paragraph">
              <wp:posOffset>301557</wp:posOffset>
            </wp:positionV>
            <wp:extent cx="3822970" cy="193958"/>
            <wp:effectExtent l="0" t="0" r="0" b="0"/>
            <wp:wrapTopAndBottom/>
            <wp:docPr id="409908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8530" name="Picture 409908530"/>
                    <pic:cNvPicPr/>
                  </pic:nvPicPr>
                  <pic:blipFill rotWithShape="1">
                    <a:blip r:embed="rId8" cstate="print">
                      <a:extLst>
                        <a:ext uri="{28A0092B-C50C-407E-A947-70E740481C1C}">
                          <a14:useLocalDpi xmlns:a14="http://schemas.microsoft.com/office/drawing/2010/main" val="0"/>
                        </a:ext>
                      </a:extLst>
                    </a:blip>
                    <a:srcRect l="35679" t="48740" b="46577"/>
                    <a:stretch/>
                  </pic:blipFill>
                  <pic:spPr bwMode="auto">
                    <a:xfrm>
                      <a:off x="0" y="0"/>
                      <a:ext cx="3822970" cy="1939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3C10">
        <w:rPr>
          <w:b/>
        </w:rPr>
        <w:t>Log-Linear Model Regression Equation:</w:t>
      </w:r>
    </w:p>
    <w:p w:rsidR="005C3C10" w:rsidRPr="00F61A0E" w:rsidRDefault="005C3C10">
      <w:pPr>
        <w:spacing w:line="480" w:lineRule="auto"/>
        <w:ind w:firstLine="720"/>
        <w:rPr>
          <w:rFonts w:ascii="Times New Roman" w:hAnsi="Times New Roman" w:cs="Times New Roman"/>
          <w:sz w:val="24"/>
          <w:szCs w:val="24"/>
        </w:rPr>
      </w:pPr>
    </w:p>
    <w:p w:rsidR="00BB1024" w:rsidRPr="00F61A0E" w:rsidRDefault="00243D89">
      <w:pPr>
        <w:pStyle w:val="Heading2"/>
        <w:rPr>
          <w:rFonts w:ascii="Times New Roman" w:hAnsi="Times New Roman" w:cs="Times New Roman"/>
          <w:sz w:val="24"/>
          <w:szCs w:val="24"/>
        </w:rPr>
      </w:pPr>
      <w:r w:rsidRPr="00F61A0E">
        <w:rPr>
          <w:rStyle w:val="Strong"/>
          <w:rFonts w:ascii="Times New Roman" w:hAnsi="Times New Roman" w:cs="Times New Roman"/>
          <w:bCs w:val="0"/>
          <w:color w:val="000000" w:themeColor="text1"/>
          <w:sz w:val="24"/>
          <w:szCs w:val="24"/>
        </w:rPr>
        <w:t>Regression Output</w:t>
      </w:r>
    </w:p>
    <w:p w:rsidR="00BB1024" w:rsidRPr="00F61A0E" w:rsidRDefault="00243D89">
      <w:pPr>
        <w:pStyle w:val="NormalWeb"/>
        <w:spacing w:before="280" w:after="280" w:line="480" w:lineRule="auto"/>
        <w:ind w:firstLine="720"/>
      </w:pPr>
      <w:r w:rsidRPr="00F61A0E">
        <w:t>Below is the regression output table, showing the relationship between GDP growth and the independent variables: FDI, government spending, and trade balance. The stars next to the coefficients represent the level of statistical significance (1 star = 10%, 2 stars = 5%, 3 stars = 1%).</w:t>
      </w:r>
    </w:p>
    <w:tbl>
      <w:tblPr>
        <w:tblW w:w="8552" w:type="dxa"/>
        <w:tblLayout w:type="fixed"/>
        <w:tblCellMar>
          <w:top w:w="15" w:type="dxa"/>
          <w:left w:w="15" w:type="dxa"/>
          <w:bottom w:w="15" w:type="dxa"/>
          <w:right w:w="15" w:type="dxa"/>
        </w:tblCellMar>
        <w:tblLook w:val="04A0" w:firstRow="1" w:lastRow="0" w:firstColumn="1" w:lastColumn="0" w:noHBand="0" w:noVBand="1"/>
      </w:tblPr>
      <w:tblGrid>
        <w:gridCol w:w="2410"/>
        <w:gridCol w:w="1199"/>
        <w:gridCol w:w="1701"/>
        <w:gridCol w:w="1067"/>
        <w:gridCol w:w="841"/>
        <w:gridCol w:w="1334"/>
      </w:tblGrid>
      <w:tr w:rsidR="00BB1024" w:rsidRPr="00F61A0E">
        <w:trPr>
          <w:tblHeader/>
        </w:trPr>
        <w:tc>
          <w:tcPr>
            <w:tcW w:w="240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jc w:val="center"/>
              <w:rPr>
                <w:rFonts w:ascii="Times New Roman" w:hAnsi="Times New Roman" w:cs="Times New Roman"/>
                <w:sz w:val="24"/>
                <w:szCs w:val="24"/>
              </w:rPr>
            </w:pPr>
            <w:r w:rsidRPr="00F61A0E">
              <w:rPr>
                <w:rStyle w:val="Strong"/>
                <w:rFonts w:ascii="Times New Roman" w:hAnsi="Times New Roman" w:cs="Times New Roman"/>
                <w:sz w:val="24"/>
                <w:szCs w:val="24"/>
              </w:rPr>
              <w:lastRenderedPageBreak/>
              <w:t>Variable</w:t>
            </w:r>
          </w:p>
        </w:tc>
        <w:tc>
          <w:tcPr>
            <w:tcW w:w="119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jc w:val="center"/>
              <w:rPr>
                <w:rFonts w:ascii="Times New Roman" w:hAnsi="Times New Roman" w:cs="Times New Roman"/>
                <w:sz w:val="24"/>
                <w:szCs w:val="24"/>
              </w:rPr>
            </w:pPr>
            <w:r w:rsidRPr="00F61A0E">
              <w:rPr>
                <w:rStyle w:val="Strong"/>
                <w:rFonts w:ascii="Times New Roman" w:hAnsi="Times New Roman" w:cs="Times New Roman"/>
                <w:sz w:val="24"/>
                <w:szCs w:val="24"/>
              </w:rPr>
              <w:t>Coefficient</w:t>
            </w:r>
          </w:p>
        </w:tc>
        <w:tc>
          <w:tcPr>
            <w:tcW w:w="170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jc w:val="center"/>
              <w:rPr>
                <w:rFonts w:ascii="Times New Roman" w:hAnsi="Times New Roman" w:cs="Times New Roman"/>
                <w:sz w:val="24"/>
                <w:szCs w:val="24"/>
              </w:rPr>
            </w:pPr>
            <w:r w:rsidRPr="00F61A0E">
              <w:rPr>
                <w:rStyle w:val="Strong"/>
                <w:rFonts w:ascii="Times New Roman" w:hAnsi="Times New Roman" w:cs="Times New Roman"/>
                <w:sz w:val="24"/>
                <w:szCs w:val="24"/>
              </w:rPr>
              <w:t>Standard Error</w:t>
            </w:r>
          </w:p>
        </w:tc>
        <w:tc>
          <w:tcPr>
            <w:tcW w:w="1067"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jc w:val="center"/>
              <w:rPr>
                <w:rFonts w:ascii="Times New Roman" w:hAnsi="Times New Roman" w:cs="Times New Roman"/>
                <w:sz w:val="24"/>
                <w:szCs w:val="24"/>
              </w:rPr>
            </w:pPr>
            <w:r w:rsidRPr="00F61A0E">
              <w:rPr>
                <w:rStyle w:val="Strong"/>
                <w:rFonts w:ascii="Times New Roman" w:hAnsi="Times New Roman" w:cs="Times New Roman"/>
                <w:sz w:val="24"/>
                <w:szCs w:val="24"/>
              </w:rPr>
              <w:t>t-Statistic</w:t>
            </w:r>
          </w:p>
        </w:tc>
        <w:tc>
          <w:tcPr>
            <w:tcW w:w="84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jc w:val="center"/>
              <w:rPr>
                <w:rFonts w:ascii="Times New Roman" w:hAnsi="Times New Roman" w:cs="Times New Roman"/>
                <w:sz w:val="24"/>
                <w:szCs w:val="24"/>
              </w:rPr>
            </w:pPr>
            <w:r w:rsidRPr="00F61A0E">
              <w:rPr>
                <w:rStyle w:val="Strong"/>
                <w:rFonts w:ascii="Times New Roman" w:hAnsi="Times New Roman" w:cs="Times New Roman"/>
                <w:sz w:val="24"/>
                <w:szCs w:val="24"/>
              </w:rPr>
              <w:t>p-value</w:t>
            </w:r>
          </w:p>
        </w:tc>
        <w:tc>
          <w:tcPr>
            <w:tcW w:w="1334"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jc w:val="center"/>
              <w:rPr>
                <w:rFonts w:ascii="Times New Roman" w:hAnsi="Times New Roman" w:cs="Times New Roman"/>
                <w:sz w:val="24"/>
                <w:szCs w:val="24"/>
              </w:rPr>
            </w:pPr>
            <w:r w:rsidRPr="00F61A0E">
              <w:rPr>
                <w:rStyle w:val="Strong"/>
                <w:rFonts w:ascii="Times New Roman" w:hAnsi="Times New Roman" w:cs="Times New Roman"/>
                <w:sz w:val="24"/>
                <w:szCs w:val="24"/>
              </w:rPr>
              <w:t>Significance</w:t>
            </w:r>
          </w:p>
        </w:tc>
      </w:tr>
      <w:tr w:rsidR="00BB1024" w:rsidRPr="00F61A0E">
        <w:tc>
          <w:tcPr>
            <w:tcW w:w="240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Style w:val="Strong"/>
                <w:rFonts w:ascii="Times New Roman" w:hAnsi="Times New Roman" w:cs="Times New Roman"/>
                <w:sz w:val="24"/>
                <w:szCs w:val="24"/>
              </w:rPr>
              <w:t>Intercept</w:t>
            </w:r>
          </w:p>
        </w:tc>
        <w:tc>
          <w:tcPr>
            <w:tcW w:w="119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2.350</w:t>
            </w:r>
          </w:p>
        </w:tc>
        <w:tc>
          <w:tcPr>
            <w:tcW w:w="170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0.874</w:t>
            </w:r>
          </w:p>
        </w:tc>
        <w:tc>
          <w:tcPr>
            <w:tcW w:w="1067"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2.69</w:t>
            </w:r>
          </w:p>
        </w:tc>
        <w:tc>
          <w:tcPr>
            <w:tcW w:w="84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0.007</w:t>
            </w:r>
          </w:p>
        </w:tc>
        <w:tc>
          <w:tcPr>
            <w:tcW w:w="1334"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w:t>
            </w:r>
          </w:p>
        </w:tc>
      </w:tr>
      <w:tr w:rsidR="00BB1024" w:rsidRPr="00F61A0E">
        <w:tc>
          <w:tcPr>
            <w:tcW w:w="240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Style w:val="Strong"/>
                <w:rFonts w:ascii="Times New Roman" w:hAnsi="Times New Roman" w:cs="Times New Roman"/>
                <w:sz w:val="24"/>
                <w:szCs w:val="24"/>
              </w:rPr>
              <w:t>FDI</w:t>
            </w:r>
          </w:p>
        </w:tc>
        <w:tc>
          <w:tcPr>
            <w:tcW w:w="119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0.457</w:t>
            </w:r>
          </w:p>
        </w:tc>
        <w:tc>
          <w:tcPr>
            <w:tcW w:w="170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0.136</w:t>
            </w:r>
          </w:p>
        </w:tc>
        <w:tc>
          <w:tcPr>
            <w:tcW w:w="1067"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3.36</w:t>
            </w:r>
          </w:p>
        </w:tc>
        <w:tc>
          <w:tcPr>
            <w:tcW w:w="84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0.001</w:t>
            </w:r>
          </w:p>
        </w:tc>
        <w:tc>
          <w:tcPr>
            <w:tcW w:w="1334"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w:t>
            </w:r>
          </w:p>
        </w:tc>
      </w:tr>
      <w:tr w:rsidR="00BB1024" w:rsidRPr="00F61A0E">
        <w:tc>
          <w:tcPr>
            <w:tcW w:w="240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Style w:val="Strong"/>
                <w:rFonts w:ascii="Times New Roman" w:hAnsi="Times New Roman" w:cs="Times New Roman"/>
                <w:sz w:val="24"/>
                <w:szCs w:val="24"/>
              </w:rPr>
              <w:t>Government Spending</w:t>
            </w:r>
          </w:p>
        </w:tc>
        <w:tc>
          <w:tcPr>
            <w:tcW w:w="119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0.245</w:t>
            </w:r>
          </w:p>
        </w:tc>
        <w:tc>
          <w:tcPr>
            <w:tcW w:w="170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0.122</w:t>
            </w:r>
          </w:p>
        </w:tc>
        <w:tc>
          <w:tcPr>
            <w:tcW w:w="1067"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2.01</w:t>
            </w:r>
          </w:p>
        </w:tc>
        <w:tc>
          <w:tcPr>
            <w:tcW w:w="84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0.045</w:t>
            </w:r>
          </w:p>
        </w:tc>
        <w:tc>
          <w:tcPr>
            <w:tcW w:w="1334"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w:t>
            </w:r>
          </w:p>
        </w:tc>
      </w:tr>
      <w:tr w:rsidR="00BB1024" w:rsidRPr="00F61A0E">
        <w:tc>
          <w:tcPr>
            <w:tcW w:w="240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Style w:val="Strong"/>
                <w:rFonts w:ascii="Times New Roman" w:hAnsi="Times New Roman" w:cs="Times New Roman"/>
                <w:sz w:val="24"/>
                <w:szCs w:val="24"/>
              </w:rPr>
              <w:t>Trade Balance</w:t>
            </w:r>
          </w:p>
        </w:tc>
        <w:tc>
          <w:tcPr>
            <w:tcW w:w="119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-0.378</w:t>
            </w:r>
          </w:p>
        </w:tc>
        <w:tc>
          <w:tcPr>
            <w:tcW w:w="170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0.210</w:t>
            </w:r>
          </w:p>
        </w:tc>
        <w:tc>
          <w:tcPr>
            <w:tcW w:w="1067"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-1.80</w:t>
            </w:r>
          </w:p>
        </w:tc>
        <w:tc>
          <w:tcPr>
            <w:tcW w:w="84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0.074</w:t>
            </w:r>
          </w:p>
        </w:tc>
        <w:tc>
          <w:tcPr>
            <w:tcW w:w="1334"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w:t>
            </w:r>
          </w:p>
        </w:tc>
      </w:tr>
      <w:tr w:rsidR="00BB1024" w:rsidRPr="00F61A0E">
        <w:tc>
          <w:tcPr>
            <w:tcW w:w="240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Style w:val="Strong"/>
                <w:rFonts w:ascii="Times New Roman" w:hAnsi="Times New Roman" w:cs="Times New Roman"/>
                <w:sz w:val="24"/>
                <w:szCs w:val="24"/>
              </w:rPr>
              <w:t>R-squared</w:t>
            </w:r>
          </w:p>
        </w:tc>
        <w:tc>
          <w:tcPr>
            <w:tcW w:w="119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0.821</w:t>
            </w:r>
          </w:p>
        </w:tc>
        <w:tc>
          <w:tcPr>
            <w:tcW w:w="170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BB1024">
            <w:pPr>
              <w:rPr>
                <w:rFonts w:ascii="Times New Roman" w:hAnsi="Times New Roman" w:cs="Times New Roman"/>
                <w:sz w:val="24"/>
                <w:szCs w:val="24"/>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BB1024">
            <w:pPr>
              <w:rPr>
                <w:rFonts w:ascii="Times New Roman" w:hAnsi="Times New Roman" w:cs="Times New Roman"/>
                <w:sz w:val="24"/>
                <w:szCs w:val="24"/>
              </w:rPr>
            </w:pPr>
          </w:p>
        </w:tc>
        <w:tc>
          <w:tcPr>
            <w:tcW w:w="84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BB1024">
            <w:pPr>
              <w:rPr>
                <w:rFonts w:ascii="Times New Roman" w:hAnsi="Times New Roman" w:cs="Times New Roman"/>
                <w:sz w:val="24"/>
                <w:szCs w:val="24"/>
              </w:rPr>
            </w:pPr>
          </w:p>
        </w:tc>
        <w:tc>
          <w:tcPr>
            <w:tcW w:w="1334"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BB1024">
            <w:pPr>
              <w:rPr>
                <w:rFonts w:ascii="Times New Roman" w:hAnsi="Times New Roman" w:cs="Times New Roman"/>
                <w:sz w:val="24"/>
                <w:szCs w:val="24"/>
              </w:rPr>
            </w:pPr>
          </w:p>
        </w:tc>
      </w:tr>
      <w:tr w:rsidR="00BB1024" w:rsidRPr="00F61A0E">
        <w:tc>
          <w:tcPr>
            <w:tcW w:w="240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Style w:val="Strong"/>
                <w:rFonts w:ascii="Times New Roman" w:hAnsi="Times New Roman" w:cs="Times New Roman"/>
                <w:sz w:val="24"/>
                <w:szCs w:val="24"/>
              </w:rPr>
              <w:t>F-statistic</w:t>
            </w:r>
          </w:p>
        </w:tc>
        <w:tc>
          <w:tcPr>
            <w:tcW w:w="119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39.56</w:t>
            </w:r>
          </w:p>
        </w:tc>
        <w:tc>
          <w:tcPr>
            <w:tcW w:w="170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BB1024">
            <w:pPr>
              <w:rPr>
                <w:rFonts w:ascii="Times New Roman" w:hAnsi="Times New Roman" w:cs="Times New Roman"/>
                <w:sz w:val="24"/>
                <w:szCs w:val="24"/>
              </w:rPr>
            </w:pPr>
          </w:p>
        </w:tc>
        <w:tc>
          <w:tcPr>
            <w:tcW w:w="1067"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BB1024">
            <w:pPr>
              <w:rPr>
                <w:rFonts w:ascii="Times New Roman" w:hAnsi="Times New Roman" w:cs="Times New Roman"/>
                <w:sz w:val="24"/>
                <w:szCs w:val="24"/>
              </w:rPr>
            </w:pPr>
          </w:p>
        </w:tc>
        <w:tc>
          <w:tcPr>
            <w:tcW w:w="841"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t>0.000</w:t>
            </w:r>
          </w:p>
        </w:tc>
        <w:tc>
          <w:tcPr>
            <w:tcW w:w="1334"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BB1024">
            <w:pPr>
              <w:rPr>
                <w:rFonts w:ascii="Times New Roman" w:hAnsi="Times New Roman" w:cs="Times New Roman"/>
                <w:sz w:val="24"/>
                <w:szCs w:val="24"/>
              </w:rPr>
            </w:pPr>
          </w:p>
        </w:tc>
      </w:tr>
    </w:tbl>
    <w:p w:rsidR="00BB1024" w:rsidRPr="00F61A0E" w:rsidRDefault="00243D89">
      <w:pPr>
        <w:pStyle w:val="NormalWeb"/>
        <w:spacing w:before="280" w:after="280"/>
      </w:pPr>
      <w:r w:rsidRPr="00F61A0E">
        <w:rPr>
          <w:rStyle w:val="Emphasis"/>
          <w:rFonts w:eastAsiaTheme="majorEastAsia"/>
        </w:rPr>
        <w:t>Notes:</w:t>
      </w:r>
    </w:p>
    <w:p w:rsidR="00BB1024" w:rsidRPr="00F61A0E" w:rsidRDefault="00243D89">
      <w:pPr>
        <w:numPr>
          <w:ilvl w:val="0"/>
          <w:numId w:val="1"/>
        </w:numPr>
        <w:spacing w:beforeAutospacing="1" w:after="0" w:line="480" w:lineRule="auto"/>
        <w:rPr>
          <w:rFonts w:ascii="Times New Roman" w:hAnsi="Times New Roman" w:cs="Times New Roman"/>
          <w:sz w:val="24"/>
          <w:szCs w:val="24"/>
        </w:rPr>
      </w:pPr>
      <w:r w:rsidRPr="00F61A0E">
        <w:rPr>
          <w:rStyle w:val="Strong"/>
          <w:rFonts w:ascii="Times New Roman" w:hAnsi="Times New Roman" w:cs="Times New Roman"/>
          <w:sz w:val="24"/>
          <w:szCs w:val="24"/>
        </w:rPr>
        <w:t>Significance levels:</w:t>
      </w:r>
      <w:r w:rsidRPr="00F61A0E">
        <w:rPr>
          <w:rFonts w:ascii="Times New Roman" w:hAnsi="Times New Roman" w:cs="Times New Roman"/>
          <w:sz w:val="24"/>
          <w:szCs w:val="24"/>
        </w:rPr>
        <w:t xml:space="preserve"> *</w:t>
      </w:r>
      <w:r w:rsidRPr="00F61A0E">
        <w:rPr>
          <w:rStyle w:val="Strong"/>
          <w:rFonts w:ascii="Times New Roman" w:hAnsi="Times New Roman" w:cs="Times New Roman"/>
          <w:sz w:val="24"/>
          <w:szCs w:val="24"/>
        </w:rPr>
        <w:t>p &lt; 0.01</w:t>
      </w:r>
      <w:r w:rsidRPr="00F61A0E">
        <w:rPr>
          <w:rFonts w:ascii="Times New Roman" w:hAnsi="Times New Roman" w:cs="Times New Roman"/>
          <w:sz w:val="24"/>
          <w:szCs w:val="24"/>
        </w:rPr>
        <w:t xml:space="preserve">, </w:t>
      </w:r>
      <w:r w:rsidRPr="00F61A0E">
        <w:rPr>
          <w:rStyle w:val="Strong"/>
          <w:rFonts w:ascii="Times New Roman" w:hAnsi="Times New Roman" w:cs="Times New Roman"/>
          <w:sz w:val="24"/>
          <w:szCs w:val="24"/>
        </w:rPr>
        <w:t>p &lt; 0.05</w:t>
      </w:r>
      <w:r w:rsidRPr="00F61A0E">
        <w:rPr>
          <w:rFonts w:ascii="Times New Roman" w:hAnsi="Times New Roman" w:cs="Times New Roman"/>
          <w:sz w:val="24"/>
          <w:szCs w:val="24"/>
        </w:rPr>
        <w:t xml:space="preserve">, </w:t>
      </w:r>
      <w:r w:rsidRPr="00F61A0E">
        <w:rPr>
          <w:rStyle w:val="Emphasis"/>
          <w:rFonts w:ascii="Times New Roman" w:hAnsi="Times New Roman" w:cs="Times New Roman"/>
          <w:sz w:val="24"/>
          <w:szCs w:val="24"/>
        </w:rPr>
        <w:t>p &lt; 0.1</w:t>
      </w:r>
    </w:p>
    <w:p w:rsidR="00BB1024" w:rsidRPr="00F61A0E" w:rsidRDefault="00243D89">
      <w:pPr>
        <w:numPr>
          <w:ilvl w:val="0"/>
          <w:numId w:val="1"/>
        </w:numPr>
        <w:spacing w:afterAutospacing="1" w:line="480" w:lineRule="auto"/>
        <w:rPr>
          <w:rFonts w:ascii="Times New Roman" w:hAnsi="Times New Roman" w:cs="Times New Roman"/>
          <w:sz w:val="24"/>
          <w:szCs w:val="24"/>
        </w:rPr>
      </w:pPr>
      <w:r w:rsidRPr="00F61A0E">
        <w:rPr>
          <w:rStyle w:val="Strong"/>
          <w:rFonts w:ascii="Times New Roman" w:hAnsi="Times New Roman" w:cs="Times New Roman"/>
          <w:sz w:val="24"/>
          <w:szCs w:val="24"/>
        </w:rPr>
        <w:t>R-squared</w:t>
      </w:r>
      <w:r w:rsidRPr="00F61A0E">
        <w:rPr>
          <w:rFonts w:ascii="Times New Roman" w:hAnsi="Times New Roman" w:cs="Times New Roman"/>
          <w:sz w:val="24"/>
          <w:szCs w:val="24"/>
        </w:rPr>
        <w:t xml:space="preserve"> represents the proportion of variance in GDP growth explained by the model (82.1%).</w:t>
      </w:r>
    </w:p>
    <w:p w:rsidR="00BB1024" w:rsidRPr="00F61A0E" w:rsidRDefault="00243D89">
      <w:pPr>
        <w:spacing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The table reveals results of the regression output in explaining the growth of the GDP as a function of these regresses: FDI, Government Expenditure, and the Balance of Trade. Therefore, the table below describes results representing some estimates of coefficients from this category of variables accordingly in addition to their respective estimated standard errors, t-ratios, and finally probability values that may also enable testing for their statistical significance or otherwise. Stars show the significance of each coefficient; three stars indicate significance at the 1% level, two stars at 5%, and one star at 10%. The format shall help in understanding the strength of the evidence supporting each variable's relationship with GDP growth.</w:t>
      </w:r>
    </w:p>
    <w:p w:rsidR="00BB1024" w:rsidRPr="00F61A0E" w:rsidRDefault="00243D8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b/>
          <w:sz w:val="24"/>
          <w:szCs w:val="24"/>
        </w:rPr>
        <w:t>Intercept (2.350):</w:t>
      </w:r>
      <w:r w:rsidRPr="00F61A0E">
        <w:rPr>
          <w:rFonts w:ascii="Times New Roman" w:hAnsi="Times New Roman" w:cs="Times New Roman"/>
          <w:sz w:val="24"/>
          <w:szCs w:val="24"/>
        </w:rPr>
        <w:t xml:space="preserve"> Generally speaking, to interpret the intercept in their regression model, it basically has to do with the forecasted GDP growth rate conditioning or assuming that all independent variabilities-FDI, general government spending, and trading position-are zero. Well, in this case of an intercept of 2.350, this means basically that, sans FDI, government spending, as </w:t>
      </w:r>
      <w:r w:rsidRPr="00F61A0E">
        <w:rPr>
          <w:rFonts w:ascii="Times New Roman" w:hAnsi="Times New Roman" w:cs="Times New Roman"/>
          <w:sz w:val="24"/>
          <w:szCs w:val="24"/>
        </w:rPr>
        <w:lastRenderedPageBreak/>
        <w:t>well as trade balance effects-the per se baseline GDP growth stands at 2.35%. This is statistically significant at the 1% level, as indicated by the three stars (***) next to the coefficient. The positive value of the intercept suggests that, even without the influence of the explanatory variables, the economy tends to grow at a moderate rate, possibly driven by other macroeconomic factors not included in the model.  This is a fundamental value because it provides a benchmark from which to compare the impact of independent variables on GDP growth.</w:t>
      </w:r>
    </w:p>
    <w:p w:rsidR="00BB1024" w:rsidRPr="00F61A0E" w:rsidRDefault="00243D8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b/>
          <w:sz w:val="24"/>
          <w:szCs w:val="24"/>
        </w:rPr>
        <w:t>FDI (0.457):</w:t>
      </w:r>
      <w:r w:rsidRPr="00F61A0E">
        <w:rPr>
          <w:rFonts w:ascii="Times New Roman" w:hAnsi="Times New Roman" w:cs="Times New Roman"/>
          <w:sz w:val="24"/>
          <w:szCs w:val="24"/>
        </w:rPr>
        <w:t xml:space="preserve"> The coefficient of FDI is 0.457, implying that for every percentage increase in the ratio of FDI to GDP, GDP increases by 0.457%. This result is significant at 1%, denoted by three stars (***) next to the coefficient. This positive relationship between FDI and GDP growth is therefore in line with economic theory, which postulates that FDI brings in capital, technology, and expertise that raise productivity and increase economic output. The result thus infers that foreign investment has a very important role to play in driving economic growth in emerging markets through improving both the capital stock and technological capabilities of the host country. In that respect, FDI is one of the critical variables for countries to stimulate growth, particularly in industries benefiting from foreign capital and expertise.</w:t>
      </w:r>
    </w:p>
    <w:p w:rsidR="00BB1024" w:rsidRPr="00F61A0E" w:rsidRDefault="00243D8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b/>
          <w:sz w:val="24"/>
          <w:szCs w:val="24"/>
        </w:rPr>
        <w:t>Government Spending (0.245):</w:t>
      </w:r>
      <w:r w:rsidRPr="00F61A0E">
        <w:rPr>
          <w:rFonts w:ascii="Times New Roman" w:hAnsi="Times New Roman" w:cs="Times New Roman"/>
          <w:sz w:val="24"/>
          <w:szCs w:val="24"/>
        </w:rPr>
        <w:t xml:space="preserve"> Government spending is 0.245, implying that for every 1% increase in government spending as a percent of GDP, GDP increases by 0.245%. The star** is to imply that it is significant at 5%. The positive correlation of government spending with GDP growth is in line with those views that consider public expenditure, especially on infrastructure, education, and health, to enhance economic activities and raise overall productive capacity. However, the magnitude of this effect is smaller than in the case of FDI, which indicates that </w:t>
      </w:r>
      <w:r w:rsidRPr="00F61A0E">
        <w:rPr>
          <w:rFonts w:ascii="Times New Roman" w:hAnsi="Times New Roman" w:cs="Times New Roman"/>
          <w:sz w:val="24"/>
          <w:szCs w:val="24"/>
        </w:rPr>
        <w:lastRenderedPageBreak/>
        <w:t>government spending, though important for growth, might be restricted by factors like the efficiency of public spending and crowding out private investment. The modest influence of government expenditure may thus suggest that fiscal policies have to be well targeted in order to become effective for long-term growth.</w:t>
      </w:r>
    </w:p>
    <w:p w:rsidR="00BB1024" w:rsidRPr="00F61A0E" w:rsidRDefault="00243D8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b/>
          <w:sz w:val="24"/>
          <w:szCs w:val="24"/>
        </w:rPr>
        <w:t>Trade Balance (-0.378)</w:t>
      </w:r>
      <w:r w:rsidRPr="00F61A0E">
        <w:rPr>
          <w:rFonts w:ascii="Times New Roman" w:hAnsi="Times New Roman" w:cs="Times New Roman"/>
          <w:sz w:val="24"/>
          <w:szCs w:val="24"/>
        </w:rPr>
        <w:t xml:space="preserve">: The trade balance has an estimated coefficient of -0.378, meaning the 1% rise in trade balance, which reflects the direction of heading towards a trade surplus position, decreases the GDP growth by 0.378%. The ** result means it is statistically significant at 10%. The negative relationship between trade balance and GDP growth is, to some extent, unexpected since economic theory generally posits that trade surpluses are beneficial for economic growth. However, the result could reflect structural factors in the included economies. For example, countries with trade surpluses may have low domestic demand, indicating that their economies are not fully utilizing their capacity for domestic consumption and investment. </w:t>
      </w:r>
    </w:p>
    <w:p w:rsidR="00BB1024" w:rsidRPr="00F61A0E" w:rsidRDefault="00243D8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b/>
          <w:sz w:val="24"/>
          <w:szCs w:val="24"/>
        </w:rPr>
        <w:t>R-squared = 0.821:</w:t>
      </w:r>
      <w:r w:rsidRPr="00F61A0E">
        <w:rPr>
          <w:rFonts w:ascii="Times New Roman" w:hAnsi="Times New Roman" w:cs="Times New Roman"/>
          <w:sz w:val="24"/>
          <w:szCs w:val="24"/>
        </w:rPr>
        <w:t xml:space="preserve"> From here, the R-square of 0.821 presents the explanation of variation explained by the model in GDP growth as 82.1%. From the fact that this number sounds relatively high, it can lead to the conclusion that this fitting well and capturing key drivers. A high R-squared means the variation within the dependent variable-L GDP is quite well explained by variations in independent variables: FDI, government spending, and trade balance. But it also means that the remaining 17.9% of the variation in the dependent variable is related to other factors, perhaps technological innovation, political stability, or global economic conditions, which might be a very important driver of economic performance.</w:t>
      </w:r>
    </w:p>
    <w:p w:rsidR="00BB1024" w:rsidRPr="00F61A0E" w:rsidRDefault="00243D8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b/>
          <w:sz w:val="24"/>
          <w:szCs w:val="24"/>
        </w:rPr>
        <w:t xml:space="preserve"> F-statistic: 39.56:</w:t>
      </w:r>
      <w:r w:rsidRPr="00F61A0E">
        <w:rPr>
          <w:rFonts w:ascii="Times New Roman" w:hAnsi="Times New Roman" w:cs="Times New Roman"/>
          <w:sz w:val="24"/>
          <w:szCs w:val="24"/>
        </w:rPr>
        <w:t xml:space="preserve"> The F-statistic is 39.56, indicating the joint significance of all the independent variables in the model. The p-value associated with it is 0.000, indicating that the </w:t>
      </w:r>
      <w:r w:rsidRPr="00F61A0E">
        <w:rPr>
          <w:rFonts w:ascii="Times New Roman" w:hAnsi="Times New Roman" w:cs="Times New Roman"/>
          <w:sz w:val="24"/>
          <w:szCs w:val="24"/>
        </w:rPr>
        <w:lastRenderedPageBreak/>
        <w:t>overall model is highly significant and independent variables jointly explain the variation in GDP growth. Therefore, all the variables used in regression, namely FDI, government spending, and trade balance, are significant determinants of GDP growth in emerging markets. A high F-statistic and its p-value confirm that the model is well-specified and the relationships between the variables are statistically significant.</w:t>
      </w:r>
    </w:p>
    <w:p w:rsidR="000514DD" w:rsidRPr="00F61A0E" w:rsidRDefault="000514DD" w:rsidP="000514DD">
      <w:pPr>
        <w:spacing w:beforeAutospacing="1" w:afterAutospacing="1" w:line="480" w:lineRule="auto"/>
        <w:ind w:firstLine="360"/>
        <w:jc w:val="center"/>
        <w:rPr>
          <w:rFonts w:ascii="Times New Roman" w:hAnsi="Times New Roman" w:cs="Times New Roman"/>
          <w:b/>
          <w:sz w:val="24"/>
          <w:szCs w:val="24"/>
        </w:rPr>
      </w:pPr>
      <w:r w:rsidRPr="00F61A0E">
        <w:rPr>
          <w:rFonts w:ascii="Times New Roman" w:hAnsi="Times New Roman" w:cs="Times New Roman"/>
          <w:b/>
          <w:sz w:val="24"/>
          <w:szCs w:val="24"/>
        </w:rPr>
        <w:t>Discussion</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1. Solow Growth Model:</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The Solow Growth Model is a key framework in economic increase idea that highlights the connection between capital accumulation, technological progress, and hard work force growth in driving GDP boom</w:t>
      </w:r>
      <w:r w:rsidR="000C694E">
        <w:rPr>
          <w:rFonts w:ascii="Times New Roman" w:hAnsi="Times New Roman" w:cs="Times New Roman"/>
          <w:sz w:val="24"/>
          <w:szCs w:val="24"/>
        </w:rPr>
        <w:t xml:space="preserve"> (</w:t>
      </w:r>
      <w:r w:rsidR="000C694E">
        <w:rPr>
          <w:rFonts w:ascii="Arial" w:hAnsi="Arial" w:cs="Arial"/>
          <w:color w:val="222222"/>
          <w:sz w:val="20"/>
          <w:szCs w:val="20"/>
          <w:shd w:val="clear" w:color="auto" w:fill="FFFFFF"/>
        </w:rPr>
        <w:t>Setterfield, 2021)</w:t>
      </w:r>
      <w:r w:rsidRPr="00F61A0E">
        <w:rPr>
          <w:rFonts w:ascii="Times New Roman" w:hAnsi="Times New Roman" w:cs="Times New Roman"/>
          <w:sz w:val="24"/>
          <w:szCs w:val="24"/>
        </w:rPr>
        <w:t>. According to the model, long-term economic boom is driven basically by means of capital accumulation (investment in bodily capital like machinery, infrastructure, etc.), technological development (upgrades in manufacturing processes), and growth within the hard work force (an increase inside the variety of employees).</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Capital accumulation: Increased investment in capital increases the effective capability of an economy, allowing it to provide greater items and offerings. However, the model assumes diminishing returns to capital, meaning that as more capital is collected, every extra unit of capital contributes less to output growth.</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Technological progress: Innovations and improvements in era enhance productivity through allowing people to supply greater output with the same amount of capital. Technological progress is important for sustaining long-time period growth, as it offsets diminishing returns to capital.</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lastRenderedPageBreak/>
        <w:t>Labor pressure boom: The version indicates that boom within the exertions force by myself cannot preserve long-term boom without improvements in technology and capital.</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Connection to FDI and Government Spending: Foreign Direct Investment (FDI) and authorities spending are external sources that complement the components of the Solow Growth Model</w:t>
      </w:r>
      <w:r w:rsidR="000C694E">
        <w:rPr>
          <w:rFonts w:ascii="Times New Roman" w:hAnsi="Times New Roman" w:cs="Times New Roman"/>
          <w:sz w:val="24"/>
          <w:szCs w:val="24"/>
        </w:rPr>
        <w:t xml:space="preserve"> (</w:t>
      </w:r>
      <w:r w:rsidR="000C694E">
        <w:rPr>
          <w:rFonts w:ascii="Arial" w:hAnsi="Arial" w:cs="Arial"/>
          <w:color w:val="222222"/>
          <w:sz w:val="20"/>
          <w:szCs w:val="20"/>
          <w:shd w:val="clear" w:color="auto" w:fill="FFFFFF"/>
        </w:rPr>
        <w:t>Epor</w:t>
      </w:r>
      <w:r w:rsidR="000C694E">
        <w:rPr>
          <w:rFonts w:ascii="Times New Roman" w:hAnsi="Times New Roman" w:cs="Times New Roman"/>
          <w:sz w:val="24"/>
          <w:szCs w:val="24"/>
        </w:rPr>
        <w:t xml:space="preserve"> et al., 2024)</w:t>
      </w:r>
      <w:r w:rsidRPr="00F61A0E">
        <w:rPr>
          <w:rFonts w:ascii="Times New Roman" w:hAnsi="Times New Roman" w:cs="Times New Roman"/>
          <w:sz w:val="24"/>
          <w:szCs w:val="24"/>
        </w:rPr>
        <w:t xml:space="preserve"> FDI gives the necessary capital for funding, particularly in growing economies wherein domestic financial savings may be insufficient. This inflow of overseas capital not most effective boosts bodily capital accumulation but also brings in generation transfer, that's an critical component of technological development. Similarly, government spending on infrastructure, education, and healthcare can boom the labor pressure’s productiveness (enhancing human capital) and improve the economic system's technological base. By investing in these areas, governments can create an environment that fosters each capital accumulation and technological development, aligning with the core elements of the Solow model to drive sustainable GDP increase.</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2. Endogenous Growth Theory:</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The Endogenous Growth Theory emphasizes the function of factors inside the financial system—which includes human capital, schooling, and institutional best—in sustaining lengthy-time period growth, in place of relying completely on external elements like technological progress or capital accumulation. This theory posits that economic regulations and investments in human capital can cause continuous and self-maintaining monetary increase, unlike the Solow model, which suggests that boom will ultimately sluggish down due to diminishing returns to capital.</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lastRenderedPageBreak/>
        <w:t>Human capital: The idea argues that investments in training and schooling enhance the abilities of the workforce, thereby increasing exertions productivity. A quite skilled exertions pressure can innovate and adapt greater successfully, leading to sustained monetary growth. Human capital is a key motive force of technological innovation, which, in flip, fosters productivity enhancements throughout the financial system.</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 xml:space="preserve">Education: Education complements human capital via supplying individuals with the talents needed to take part in and contribute to the financial system. It additionally accelerates technological adoption and innovation, permitting people to adopt and put into effect new technologies that improve productiveness and competitiveness. </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Institutional quality: The energy of institutions—together with rule of law, governance, and regulatory excellent—plays an essential role in promoting monetary increase. Strong institutions create a surroundings conducive to funding, entrepreneurship, and innovation, ensuring that sources are allotted efficiently and that economic interest is continued.</w:t>
      </w:r>
    </w:p>
    <w:p w:rsidR="000514DD" w:rsidRPr="00F61A0E" w:rsidRDefault="000514DD" w:rsidP="000514DD">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Connection to FDI: Endogenous increase theory highlights how human capital and institutional best decorate the absorptive capacity of FDI. FDI brings no longer most effective capital but also information, technology, and managerial understanding to a country</w:t>
      </w:r>
      <w:r w:rsidR="000C694E">
        <w:rPr>
          <w:rFonts w:ascii="Times New Roman" w:hAnsi="Times New Roman" w:cs="Times New Roman"/>
          <w:sz w:val="24"/>
          <w:szCs w:val="24"/>
        </w:rPr>
        <w:t xml:space="preserve"> (</w:t>
      </w:r>
      <w:r w:rsidR="000C694E">
        <w:rPr>
          <w:rFonts w:ascii="Arial" w:hAnsi="Arial" w:cs="Arial"/>
          <w:color w:val="222222"/>
          <w:sz w:val="20"/>
          <w:szCs w:val="20"/>
          <w:shd w:val="clear" w:color="auto" w:fill="FFFFFF"/>
        </w:rPr>
        <w:t>Emako et al., 2020)</w:t>
      </w:r>
      <w:r w:rsidRPr="00F61A0E">
        <w:rPr>
          <w:rFonts w:ascii="Times New Roman" w:hAnsi="Times New Roman" w:cs="Times New Roman"/>
          <w:sz w:val="24"/>
          <w:szCs w:val="24"/>
        </w:rPr>
        <w:t xml:space="preserve">. However, the effectiveness of FDI in promoting economic increase relies upon at the recipient united states of America’s capacity to soak up and make use of these external inputs. Countries with excessive degrees of human capital (i.E., a skilled and educated workforce) are better prepared to evolve overseas technologies and improvements, main to expanded productivity and boom. Similarly, international locations with sturdy establishments can ensure that FDI contributes to productive investments as opposed to being misallocated or absorbed </w:t>
      </w:r>
      <w:r w:rsidRPr="00F61A0E">
        <w:rPr>
          <w:rFonts w:ascii="Times New Roman" w:hAnsi="Times New Roman" w:cs="Times New Roman"/>
          <w:sz w:val="24"/>
          <w:szCs w:val="24"/>
        </w:rPr>
        <w:lastRenderedPageBreak/>
        <w:t>inefficiently. In this experience, FDI and endogenous growth factors work together: FDI presents the capital and technological sources, at the same time as human capital and establishments make sure that these sources are correctly utilized to foster sustainable monetary boom.</w:t>
      </w:r>
    </w:p>
    <w:p w:rsidR="00BB1024" w:rsidRPr="00F61A0E" w:rsidRDefault="00243D89">
      <w:pPr>
        <w:rPr>
          <w:rFonts w:ascii="Times New Roman" w:hAnsi="Times New Roman" w:cs="Times New Roman"/>
          <w:sz w:val="24"/>
          <w:szCs w:val="24"/>
        </w:rPr>
      </w:pPr>
      <w:r w:rsidRPr="00F61A0E">
        <w:rPr>
          <w:rFonts w:ascii="Times New Roman" w:hAnsi="Times New Roman" w:cs="Times New Roman"/>
          <w:b/>
          <w:color w:val="000000" w:themeColor="text1"/>
          <w:sz w:val="24"/>
          <w:szCs w:val="24"/>
        </w:rPr>
        <w:t>Discussion of Unexpected Results and Their Implications</w:t>
      </w:r>
    </w:p>
    <w:p w:rsidR="00BB1024" w:rsidRPr="00F61A0E" w:rsidRDefault="00243D8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While most of the coefficients are as theoretically expected, some of the results turned out to be unexpected and call for additional discussion.</w:t>
      </w:r>
    </w:p>
    <w:p w:rsidR="00BB1024" w:rsidRPr="00F61A0E" w:rsidRDefault="00243D8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b/>
          <w:sz w:val="24"/>
          <w:szCs w:val="24"/>
        </w:rPr>
        <w:t>1. Negative Trade Balance and GDP Growth:</w:t>
      </w:r>
      <w:r w:rsidRPr="00F61A0E">
        <w:rPr>
          <w:rFonts w:ascii="Times New Roman" w:hAnsi="Times New Roman" w:cs="Times New Roman"/>
          <w:sz w:val="24"/>
          <w:szCs w:val="24"/>
        </w:rPr>
        <w:t xml:space="preserve"> The negative coefficient for the trade balance (-0.378) contradicts the popular belief that a trade surplus is beneficial for economic growth since it enhances exports and thereby jobs. However, this result may be explained by underlying structural factors such as economies that generate trade surpluses through resource extraction rather than value-added manufacturing or innovation. If the latter sectors do not lead to broader industrialization or diversification, raw material-exporting countries might face stagnant economic growth. It could also be that a trade surplus reflects low domestic demand, which holds a country back from realizing its full economic potential. This result implies that trade in emerging economies is complex and may not be indicated by trade balance alone.</w:t>
      </w:r>
    </w:p>
    <w:p w:rsidR="00BB1024" w:rsidRPr="00F61A0E" w:rsidRDefault="00243D8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b/>
          <w:sz w:val="24"/>
          <w:szCs w:val="24"/>
        </w:rPr>
        <w:t>2. Moderate Impact of Government Spending</w:t>
      </w:r>
      <w:r w:rsidRPr="00F61A0E">
        <w:rPr>
          <w:rFonts w:ascii="Times New Roman" w:hAnsi="Times New Roman" w:cs="Times New Roman"/>
          <w:sz w:val="24"/>
          <w:szCs w:val="24"/>
        </w:rPr>
        <w:t>: Government expenditure, while being positively related to GDP growth, is low in magnitude compared to FDI</w:t>
      </w:r>
      <w:r w:rsidR="00ED43CF">
        <w:rPr>
          <w:rFonts w:ascii="Times New Roman" w:hAnsi="Times New Roman" w:cs="Times New Roman"/>
          <w:sz w:val="24"/>
          <w:szCs w:val="24"/>
        </w:rPr>
        <w:t xml:space="preserve"> (</w:t>
      </w:r>
      <w:r w:rsidR="00ED43CF">
        <w:rPr>
          <w:rFonts w:ascii="Arial" w:hAnsi="Arial" w:cs="Arial"/>
          <w:color w:val="222222"/>
          <w:sz w:val="20"/>
          <w:szCs w:val="20"/>
          <w:shd w:val="clear" w:color="auto" w:fill="FFFFFF"/>
        </w:rPr>
        <w:t>Teunen</w:t>
      </w:r>
      <w:r w:rsidR="00ED43CF">
        <w:rPr>
          <w:rFonts w:ascii="Arial" w:hAnsi="Arial" w:cs="Arial"/>
          <w:color w:val="222222"/>
          <w:sz w:val="20"/>
          <w:szCs w:val="20"/>
          <w:shd w:val="clear" w:color="auto" w:fill="FFFFFF"/>
        </w:rPr>
        <w:t>, 2022)</w:t>
      </w:r>
      <w:r w:rsidRPr="00F61A0E">
        <w:rPr>
          <w:rFonts w:ascii="Times New Roman" w:hAnsi="Times New Roman" w:cs="Times New Roman"/>
          <w:sz w:val="24"/>
          <w:szCs w:val="24"/>
        </w:rPr>
        <w:t xml:space="preserve">. It may be indicating that even though government expenditure is one of the main determinants of economic activity, its efficiency depends on apportionment and utilization of the same expenditure. This may eventually lead to inefficient public sector investment, corruption, or scarcity of skilled labor, ultimately reducing the overall impact of government spending on growth. Besides, the excessively high government debt that such high spending would lead to </w:t>
      </w:r>
      <w:r w:rsidRPr="00F61A0E">
        <w:rPr>
          <w:rFonts w:ascii="Times New Roman" w:hAnsi="Times New Roman" w:cs="Times New Roman"/>
          <w:sz w:val="24"/>
          <w:szCs w:val="24"/>
        </w:rPr>
        <w:lastRenderedPageBreak/>
        <w:t>may be at the cost of the long-term sustainability of these policies. This underlines a word of caution on fiscal management in emerging markets in terms of ensuring that active public investment translates into sustainable growth and does not become yet another factor in fiscal imbalance in the future.</w:t>
      </w:r>
    </w:p>
    <w:p w:rsidR="0038074B" w:rsidRPr="00F61A0E" w:rsidRDefault="0038074B" w:rsidP="0038074B">
      <w:pPr>
        <w:jc w:val="center"/>
        <w:rPr>
          <w:rFonts w:ascii="Times New Roman" w:hAnsi="Times New Roman" w:cs="Times New Roman"/>
          <w:sz w:val="24"/>
          <w:szCs w:val="24"/>
        </w:rPr>
      </w:pPr>
      <w:r w:rsidRPr="00F61A0E">
        <w:rPr>
          <w:rFonts w:ascii="Times New Roman" w:hAnsi="Times New Roman" w:cs="Times New Roman"/>
          <w:sz w:val="24"/>
          <w:szCs w:val="24"/>
        </w:rPr>
        <w:t>Government Expenditure (%of GDP)</w:t>
      </w:r>
    </w:p>
    <w:p w:rsidR="0038074B" w:rsidRPr="00F61A0E" w:rsidRDefault="0038074B" w:rsidP="0038074B">
      <w:pPr>
        <w:jc w:val="center"/>
        <w:rPr>
          <w:rFonts w:ascii="Times New Roman" w:hAnsi="Times New Roman" w:cs="Times New Roman"/>
          <w:sz w:val="24"/>
          <w:szCs w:val="24"/>
        </w:rPr>
      </w:pPr>
      <w:r w:rsidRPr="00F61A0E">
        <w:rPr>
          <w:rFonts w:ascii="Times New Roman" w:hAnsi="Times New Roman" w:cs="Times New Roman"/>
          <w:noProof/>
          <w:sz w:val="24"/>
          <w:szCs w:val="24"/>
        </w:rPr>
        <w:drawing>
          <wp:inline distT="0" distB="0" distL="0" distR="0" wp14:anchorId="229F1AC6" wp14:editId="4CD2DDEB">
            <wp:extent cx="4648849" cy="24577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849" cy="2457793"/>
                    </a:xfrm>
                    <a:prstGeom prst="rect">
                      <a:avLst/>
                    </a:prstGeom>
                  </pic:spPr>
                </pic:pic>
              </a:graphicData>
            </a:graphic>
          </wp:inline>
        </w:drawing>
      </w:r>
    </w:p>
    <w:p w:rsidR="0038074B" w:rsidRPr="00F61A0E" w:rsidRDefault="0038074B" w:rsidP="0038074B">
      <w:pPr>
        <w:jc w:val="center"/>
        <w:rPr>
          <w:rFonts w:ascii="Times New Roman" w:hAnsi="Times New Roman" w:cs="Times New Roman"/>
          <w:sz w:val="24"/>
          <w:szCs w:val="24"/>
        </w:rPr>
      </w:pPr>
      <w:r w:rsidRPr="00F61A0E">
        <w:rPr>
          <w:rFonts w:ascii="Times New Roman" w:hAnsi="Times New Roman" w:cs="Times New Roman"/>
          <w:noProof/>
          <w:sz w:val="24"/>
          <w:szCs w:val="24"/>
        </w:rPr>
        <w:drawing>
          <wp:inline distT="0" distB="0" distL="0" distR="0" wp14:anchorId="50985EDB" wp14:editId="007BD346">
            <wp:extent cx="5943600" cy="3487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7420"/>
                    </a:xfrm>
                    <a:prstGeom prst="rect">
                      <a:avLst/>
                    </a:prstGeom>
                  </pic:spPr>
                </pic:pic>
              </a:graphicData>
            </a:graphic>
          </wp:inline>
        </w:drawing>
      </w:r>
    </w:p>
    <w:p w:rsidR="0038074B" w:rsidRPr="00F61A0E" w:rsidRDefault="0038074B" w:rsidP="0038074B">
      <w:pPr>
        <w:jc w:val="center"/>
        <w:rPr>
          <w:rFonts w:ascii="Times New Roman" w:hAnsi="Times New Roman" w:cs="Times New Roman"/>
          <w:sz w:val="24"/>
          <w:szCs w:val="24"/>
        </w:rPr>
      </w:pPr>
      <w:r w:rsidRPr="00F61A0E">
        <w:rPr>
          <w:rFonts w:ascii="Times New Roman" w:hAnsi="Times New Roman" w:cs="Times New Roman"/>
          <w:noProof/>
          <w:sz w:val="24"/>
          <w:szCs w:val="24"/>
        </w:rPr>
        <w:lastRenderedPageBreak/>
        <w:drawing>
          <wp:inline distT="0" distB="0" distL="0" distR="0" wp14:anchorId="2964E47F" wp14:editId="1E9E9B3B">
            <wp:extent cx="5943600" cy="3300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0095"/>
                    </a:xfrm>
                    <a:prstGeom prst="rect">
                      <a:avLst/>
                    </a:prstGeom>
                  </pic:spPr>
                </pic:pic>
              </a:graphicData>
            </a:graphic>
          </wp:inline>
        </w:drawing>
      </w:r>
    </w:p>
    <w:p w:rsidR="0038074B" w:rsidRPr="00F61A0E" w:rsidRDefault="0038074B" w:rsidP="0038074B">
      <w:pPr>
        <w:jc w:val="center"/>
        <w:rPr>
          <w:rFonts w:ascii="Times New Roman" w:hAnsi="Times New Roman" w:cs="Times New Roman"/>
          <w:sz w:val="24"/>
          <w:szCs w:val="24"/>
        </w:rPr>
      </w:pPr>
      <w:r w:rsidRPr="00F61A0E">
        <w:rPr>
          <w:rFonts w:ascii="Times New Roman" w:hAnsi="Times New Roman" w:cs="Times New Roman"/>
          <w:noProof/>
          <w:sz w:val="24"/>
          <w:szCs w:val="24"/>
        </w:rPr>
        <w:drawing>
          <wp:inline distT="0" distB="0" distL="0" distR="0" wp14:anchorId="45B5E32A" wp14:editId="6DD89158">
            <wp:extent cx="5943600" cy="2930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0525"/>
                    </a:xfrm>
                    <a:prstGeom prst="rect">
                      <a:avLst/>
                    </a:prstGeom>
                  </pic:spPr>
                </pic:pic>
              </a:graphicData>
            </a:graphic>
          </wp:inline>
        </w:drawing>
      </w:r>
    </w:p>
    <w:p w:rsidR="00E04776" w:rsidRPr="00F61A0E" w:rsidRDefault="00E04776" w:rsidP="0038074B">
      <w:pPr>
        <w:jc w:val="center"/>
        <w:rPr>
          <w:rFonts w:ascii="Times New Roman" w:hAnsi="Times New Roman" w:cs="Times New Roman"/>
          <w:sz w:val="24"/>
          <w:szCs w:val="24"/>
        </w:rPr>
      </w:pPr>
      <w:r w:rsidRPr="00F61A0E">
        <w:rPr>
          <w:rFonts w:ascii="Times New Roman" w:hAnsi="Times New Roman" w:cs="Times New Roman"/>
          <w:noProof/>
          <w:sz w:val="24"/>
          <w:szCs w:val="24"/>
        </w:rPr>
        <w:lastRenderedPageBreak/>
        <w:drawing>
          <wp:inline distT="0" distB="0" distL="0" distR="0" wp14:anchorId="7D060BDD" wp14:editId="6C02098E">
            <wp:extent cx="5943600" cy="2896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6235"/>
                    </a:xfrm>
                    <a:prstGeom prst="rect">
                      <a:avLst/>
                    </a:prstGeom>
                  </pic:spPr>
                </pic:pic>
              </a:graphicData>
            </a:graphic>
          </wp:inline>
        </w:drawing>
      </w:r>
      <w:r w:rsidRPr="00F61A0E">
        <w:rPr>
          <w:rFonts w:ascii="Times New Roman" w:hAnsi="Times New Roman" w:cs="Times New Roman"/>
          <w:noProof/>
          <w:sz w:val="24"/>
          <w:szCs w:val="24"/>
        </w:rPr>
        <w:drawing>
          <wp:inline distT="0" distB="0" distL="0" distR="0" wp14:anchorId="14D71408" wp14:editId="0237B72A">
            <wp:extent cx="5943600" cy="3647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7440"/>
                    </a:xfrm>
                    <a:prstGeom prst="rect">
                      <a:avLst/>
                    </a:prstGeom>
                  </pic:spPr>
                </pic:pic>
              </a:graphicData>
            </a:graphic>
          </wp:inline>
        </w:drawing>
      </w:r>
    </w:p>
    <w:p w:rsidR="0038074B" w:rsidRPr="00F61A0E" w:rsidRDefault="0038074B" w:rsidP="0038074B">
      <w:pPr>
        <w:jc w:val="center"/>
        <w:rPr>
          <w:rFonts w:ascii="Times New Roman" w:hAnsi="Times New Roman" w:cs="Times New Roman"/>
          <w:sz w:val="24"/>
          <w:szCs w:val="24"/>
        </w:rPr>
      </w:pPr>
    </w:p>
    <w:p w:rsidR="0038074B" w:rsidRPr="00F61A0E" w:rsidRDefault="00350D3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noProof/>
          <w:sz w:val="24"/>
          <w:szCs w:val="24"/>
        </w:rPr>
        <w:lastRenderedPageBreak/>
        <w:drawing>
          <wp:inline distT="0" distB="0" distL="0" distR="0" wp14:anchorId="554B629C" wp14:editId="2F41B893">
            <wp:extent cx="5943600" cy="5648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48325"/>
                    </a:xfrm>
                    <a:prstGeom prst="rect">
                      <a:avLst/>
                    </a:prstGeom>
                  </pic:spPr>
                </pic:pic>
              </a:graphicData>
            </a:graphic>
          </wp:inline>
        </w:drawing>
      </w:r>
    </w:p>
    <w:p w:rsidR="00350D39" w:rsidRPr="00F61A0E" w:rsidRDefault="00350D3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noProof/>
          <w:sz w:val="24"/>
          <w:szCs w:val="24"/>
        </w:rPr>
        <w:lastRenderedPageBreak/>
        <w:drawing>
          <wp:inline distT="0" distB="0" distL="0" distR="0" wp14:anchorId="4ABF5B9E" wp14:editId="737FC844">
            <wp:extent cx="5943600" cy="5681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81980"/>
                    </a:xfrm>
                    <a:prstGeom prst="rect">
                      <a:avLst/>
                    </a:prstGeom>
                  </pic:spPr>
                </pic:pic>
              </a:graphicData>
            </a:graphic>
          </wp:inline>
        </w:drawing>
      </w:r>
    </w:p>
    <w:p w:rsidR="007C7CF4" w:rsidRPr="00F61A0E" w:rsidRDefault="007C7CF4">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noProof/>
          <w:sz w:val="24"/>
          <w:szCs w:val="24"/>
        </w:rPr>
        <w:lastRenderedPageBreak/>
        <w:drawing>
          <wp:inline distT="0" distB="0" distL="0" distR="0" wp14:anchorId="2D8BE876" wp14:editId="11399693">
            <wp:extent cx="5943600"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2350"/>
                    </a:xfrm>
                    <a:prstGeom prst="rect">
                      <a:avLst/>
                    </a:prstGeom>
                  </pic:spPr>
                </pic:pic>
              </a:graphicData>
            </a:graphic>
          </wp:inline>
        </w:drawing>
      </w:r>
    </w:p>
    <w:p w:rsidR="00316C05" w:rsidRPr="00F61A0E" w:rsidRDefault="00316C05">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sz w:val="24"/>
          <w:szCs w:val="24"/>
        </w:rPr>
        <w:t>Regression Output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6"/>
        <w:gridCol w:w="1200"/>
        <w:gridCol w:w="1147"/>
        <w:gridCol w:w="1067"/>
        <w:gridCol w:w="894"/>
        <w:gridCol w:w="1335"/>
      </w:tblGrid>
      <w:tr w:rsidR="00C70D1A" w:rsidRPr="00C70D1A" w:rsidTr="00C70D1A">
        <w:trPr>
          <w:tblHeader/>
          <w:tblCellSpacing w:w="15" w:type="dxa"/>
        </w:trPr>
        <w:tc>
          <w:tcPr>
            <w:tcW w:w="0" w:type="auto"/>
            <w:vAlign w:val="center"/>
            <w:hideMark/>
          </w:tcPr>
          <w:p w:rsidR="00C70D1A" w:rsidRPr="00C70D1A" w:rsidRDefault="00C70D1A" w:rsidP="00C70D1A">
            <w:pPr>
              <w:suppressAutoHyphens w:val="0"/>
              <w:spacing w:after="0" w:line="240" w:lineRule="auto"/>
              <w:jc w:val="center"/>
              <w:rPr>
                <w:rFonts w:ascii="Times New Roman" w:eastAsia="Times New Roman" w:hAnsi="Times New Roman" w:cs="Times New Roman"/>
                <w:b/>
                <w:bCs/>
                <w:sz w:val="24"/>
                <w:szCs w:val="24"/>
              </w:rPr>
            </w:pPr>
            <w:r w:rsidRPr="00C70D1A">
              <w:rPr>
                <w:rFonts w:ascii="Times New Roman" w:eastAsia="Times New Roman" w:hAnsi="Times New Roman" w:cs="Times New Roman"/>
                <w:b/>
                <w:bCs/>
                <w:sz w:val="24"/>
                <w:szCs w:val="24"/>
              </w:rPr>
              <w:t>Variable</w:t>
            </w:r>
          </w:p>
        </w:tc>
        <w:tc>
          <w:tcPr>
            <w:tcW w:w="0" w:type="auto"/>
            <w:vAlign w:val="center"/>
            <w:hideMark/>
          </w:tcPr>
          <w:p w:rsidR="00C70D1A" w:rsidRPr="00C70D1A" w:rsidRDefault="00C70D1A" w:rsidP="00C70D1A">
            <w:pPr>
              <w:suppressAutoHyphens w:val="0"/>
              <w:spacing w:after="0" w:line="240" w:lineRule="auto"/>
              <w:jc w:val="center"/>
              <w:rPr>
                <w:rFonts w:ascii="Times New Roman" w:eastAsia="Times New Roman" w:hAnsi="Times New Roman" w:cs="Times New Roman"/>
                <w:b/>
                <w:bCs/>
                <w:sz w:val="24"/>
                <w:szCs w:val="24"/>
              </w:rPr>
            </w:pPr>
            <w:r w:rsidRPr="00C70D1A">
              <w:rPr>
                <w:rFonts w:ascii="Times New Roman" w:eastAsia="Times New Roman" w:hAnsi="Times New Roman" w:cs="Times New Roman"/>
                <w:b/>
                <w:bCs/>
                <w:sz w:val="24"/>
                <w:szCs w:val="24"/>
              </w:rPr>
              <w:t>Coefficient</w:t>
            </w:r>
          </w:p>
        </w:tc>
        <w:tc>
          <w:tcPr>
            <w:tcW w:w="0" w:type="auto"/>
            <w:vAlign w:val="center"/>
            <w:hideMark/>
          </w:tcPr>
          <w:p w:rsidR="00C70D1A" w:rsidRPr="00C70D1A" w:rsidRDefault="00C70D1A" w:rsidP="00C70D1A">
            <w:pPr>
              <w:suppressAutoHyphens w:val="0"/>
              <w:spacing w:after="0" w:line="240" w:lineRule="auto"/>
              <w:jc w:val="center"/>
              <w:rPr>
                <w:rFonts w:ascii="Times New Roman" w:eastAsia="Times New Roman" w:hAnsi="Times New Roman" w:cs="Times New Roman"/>
                <w:b/>
                <w:bCs/>
                <w:sz w:val="24"/>
                <w:szCs w:val="24"/>
              </w:rPr>
            </w:pPr>
            <w:r w:rsidRPr="00C70D1A">
              <w:rPr>
                <w:rFonts w:ascii="Times New Roman" w:eastAsia="Times New Roman" w:hAnsi="Times New Roman" w:cs="Times New Roman"/>
                <w:b/>
                <w:bCs/>
                <w:sz w:val="24"/>
                <w:szCs w:val="24"/>
              </w:rPr>
              <w:t>Std. Error</w:t>
            </w:r>
          </w:p>
        </w:tc>
        <w:tc>
          <w:tcPr>
            <w:tcW w:w="0" w:type="auto"/>
            <w:vAlign w:val="center"/>
            <w:hideMark/>
          </w:tcPr>
          <w:p w:rsidR="00C70D1A" w:rsidRPr="00C70D1A" w:rsidRDefault="00C70D1A" w:rsidP="00C70D1A">
            <w:pPr>
              <w:suppressAutoHyphens w:val="0"/>
              <w:spacing w:after="0" w:line="240" w:lineRule="auto"/>
              <w:jc w:val="center"/>
              <w:rPr>
                <w:rFonts w:ascii="Times New Roman" w:eastAsia="Times New Roman" w:hAnsi="Times New Roman" w:cs="Times New Roman"/>
                <w:b/>
                <w:bCs/>
                <w:sz w:val="24"/>
                <w:szCs w:val="24"/>
              </w:rPr>
            </w:pPr>
            <w:r w:rsidRPr="00C70D1A">
              <w:rPr>
                <w:rFonts w:ascii="Times New Roman" w:eastAsia="Times New Roman" w:hAnsi="Times New Roman" w:cs="Times New Roman"/>
                <w:b/>
                <w:bCs/>
                <w:sz w:val="24"/>
                <w:szCs w:val="24"/>
              </w:rPr>
              <w:t>t-Statistic</w:t>
            </w:r>
          </w:p>
        </w:tc>
        <w:tc>
          <w:tcPr>
            <w:tcW w:w="0" w:type="auto"/>
            <w:vAlign w:val="center"/>
            <w:hideMark/>
          </w:tcPr>
          <w:p w:rsidR="00C70D1A" w:rsidRPr="00C70D1A" w:rsidRDefault="00C70D1A" w:rsidP="00C70D1A">
            <w:pPr>
              <w:suppressAutoHyphens w:val="0"/>
              <w:spacing w:after="0" w:line="240" w:lineRule="auto"/>
              <w:jc w:val="center"/>
              <w:rPr>
                <w:rFonts w:ascii="Times New Roman" w:eastAsia="Times New Roman" w:hAnsi="Times New Roman" w:cs="Times New Roman"/>
                <w:b/>
                <w:bCs/>
                <w:sz w:val="24"/>
                <w:szCs w:val="24"/>
              </w:rPr>
            </w:pPr>
            <w:r w:rsidRPr="00C70D1A">
              <w:rPr>
                <w:rFonts w:ascii="Times New Roman" w:eastAsia="Times New Roman" w:hAnsi="Times New Roman" w:cs="Times New Roman"/>
                <w:b/>
                <w:bCs/>
                <w:sz w:val="24"/>
                <w:szCs w:val="24"/>
              </w:rPr>
              <w:t>p-Value</w:t>
            </w:r>
          </w:p>
        </w:tc>
        <w:tc>
          <w:tcPr>
            <w:tcW w:w="0" w:type="auto"/>
            <w:vAlign w:val="center"/>
            <w:hideMark/>
          </w:tcPr>
          <w:p w:rsidR="00C70D1A" w:rsidRPr="00C70D1A" w:rsidRDefault="00C70D1A" w:rsidP="00C70D1A">
            <w:pPr>
              <w:suppressAutoHyphens w:val="0"/>
              <w:spacing w:after="0" w:line="240" w:lineRule="auto"/>
              <w:jc w:val="center"/>
              <w:rPr>
                <w:rFonts w:ascii="Times New Roman" w:eastAsia="Times New Roman" w:hAnsi="Times New Roman" w:cs="Times New Roman"/>
                <w:b/>
                <w:bCs/>
                <w:sz w:val="24"/>
                <w:szCs w:val="24"/>
              </w:rPr>
            </w:pPr>
            <w:r w:rsidRPr="00C70D1A">
              <w:rPr>
                <w:rFonts w:ascii="Times New Roman" w:eastAsia="Times New Roman" w:hAnsi="Times New Roman" w:cs="Times New Roman"/>
                <w:b/>
                <w:bCs/>
                <w:sz w:val="24"/>
                <w:szCs w:val="24"/>
              </w:rPr>
              <w:t>Significance</w:t>
            </w:r>
          </w:p>
        </w:tc>
      </w:tr>
      <w:tr w:rsidR="00C70D1A" w:rsidRPr="00C70D1A" w:rsidTr="00C70D1A">
        <w:trPr>
          <w:tblCellSpacing w:w="15" w:type="dxa"/>
        </w:trPr>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F61A0E">
              <w:rPr>
                <w:rFonts w:ascii="Times New Roman" w:eastAsia="Times New Roman" w:hAnsi="Times New Roman" w:cs="Times New Roman"/>
                <w:b/>
                <w:bCs/>
                <w:sz w:val="24"/>
                <w:szCs w:val="24"/>
              </w:rPr>
              <w:t>Constant</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10.08</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2.19</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4.60</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0.000</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w:t>
            </w:r>
          </w:p>
        </w:tc>
      </w:tr>
      <w:tr w:rsidR="00C70D1A" w:rsidRPr="00C70D1A" w:rsidTr="00C70D1A">
        <w:trPr>
          <w:tblCellSpacing w:w="15" w:type="dxa"/>
        </w:trPr>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F61A0E">
              <w:rPr>
                <w:rFonts w:ascii="Times New Roman" w:eastAsia="Times New Roman" w:hAnsi="Times New Roman" w:cs="Times New Roman"/>
                <w:b/>
                <w:bCs/>
                <w:sz w:val="24"/>
                <w:szCs w:val="24"/>
              </w:rPr>
              <w:t>FDI (% GDP)</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0.51</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0.27</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1.91</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0.062</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w:t>
            </w:r>
          </w:p>
        </w:tc>
      </w:tr>
      <w:tr w:rsidR="00C70D1A" w:rsidRPr="00C70D1A" w:rsidTr="00C70D1A">
        <w:trPr>
          <w:tblCellSpacing w:w="15" w:type="dxa"/>
        </w:trPr>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F61A0E">
              <w:rPr>
                <w:rFonts w:ascii="Times New Roman" w:eastAsia="Times New Roman" w:hAnsi="Times New Roman" w:cs="Times New Roman"/>
                <w:b/>
                <w:bCs/>
                <w:sz w:val="24"/>
                <w:szCs w:val="24"/>
              </w:rPr>
              <w:t>Government Spending (% GDP)</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-0.21</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0.13</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-1.68</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0.099</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w:t>
            </w:r>
          </w:p>
        </w:tc>
      </w:tr>
      <w:tr w:rsidR="00C70D1A" w:rsidRPr="00C70D1A" w:rsidTr="00C70D1A">
        <w:trPr>
          <w:tblCellSpacing w:w="15" w:type="dxa"/>
        </w:trPr>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F61A0E">
              <w:rPr>
                <w:rFonts w:ascii="Times New Roman" w:eastAsia="Times New Roman" w:hAnsi="Times New Roman" w:cs="Times New Roman"/>
                <w:b/>
                <w:bCs/>
                <w:sz w:val="24"/>
                <w:szCs w:val="24"/>
              </w:rPr>
              <w:t>Trade Balance (% GDP)</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-0.05</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0.12</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-0.42</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0.676</w:t>
            </w:r>
          </w:p>
        </w:tc>
        <w:tc>
          <w:tcPr>
            <w:tcW w:w="0" w:type="auto"/>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p>
        </w:tc>
      </w:tr>
    </w:tbl>
    <w:p w:rsidR="00C70D1A" w:rsidRPr="00F61A0E" w:rsidRDefault="00C70D1A" w:rsidP="002E4455">
      <w:pPr>
        <w:rPr>
          <w:rFonts w:ascii="Times New Roman" w:hAnsi="Times New Roman" w:cs="Times New Roman"/>
          <w:sz w:val="24"/>
          <w:szCs w:val="24"/>
        </w:rPr>
      </w:pPr>
    </w:p>
    <w:p w:rsidR="00296E9A" w:rsidRPr="00F61A0E" w:rsidRDefault="00C70D1A" w:rsidP="00296E9A">
      <w:pPr>
        <w:rPr>
          <w:rFonts w:ascii="Times New Roman" w:hAnsi="Times New Roman" w:cs="Times New Roman"/>
          <w:sz w:val="24"/>
          <w:szCs w:val="24"/>
        </w:rPr>
      </w:pPr>
      <w:r w:rsidRPr="00F61A0E">
        <w:rPr>
          <w:rFonts w:ascii="Times New Roman" w:hAnsi="Times New Roman" w:cs="Times New Roman"/>
          <w:sz w:val="24"/>
          <w:szCs w:val="24"/>
        </w:rPr>
        <w:br w:type="page"/>
      </w:r>
      <w:r w:rsidR="00296E9A" w:rsidRPr="00F61A0E">
        <w:rPr>
          <w:rFonts w:ascii="Times New Roman" w:hAnsi="Times New Roman" w:cs="Times New Roman"/>
          <w:sz w:val="24"/>
          <w:szCs w:val="24"/>
        </w:rPr>
        <w:lastRenderedPageBreak/>
        <w:t>FDI: A 1% increase in FDI leads to a 0.51% increase in GDP growth (p &lt; 0.1, marginally significant).</w:t>
      </w:r>
    </w:p>
    <w:p w:rsidR="00296E9A" w:rsidRPr="00F61A0E" w:rsidRDefault="00296E9A" w:rsidP="00296E9A">
      <w:pPr>
        <w:rPr>
          <w:rFonts w:ascii="Times New Roman" w:hAnsi="Times New Roman" w:cs="Times New Roman"/>
          <w:sz w:val="24"/>
          <w:szCs w:val="24"/>
        </w:rPr>
      </w:pPr>
      <w:r w:rsidRPr="00F61A0E">
        <w:rPr>
          <w:rFonts w:ascii="Times New Roman" w:hAnsi="Times New Roman" w:cs="Times New Roman"/>
          <w:sz w:val="24"/>
          <w:szCs w:val="24"/>
        </w:rPr>
        <w:t>Government Spending: A 1% increase reduces GDP growth by 0.21% (p &lt; 0.1, marginally significant).</w:t>
      </w:r>
    </w:p>
    <w:p w:rsidR="00296E9A" w:rsidRPr="00F61A0E" w:rsidRDefault="00296E9A" w:rsidP="00296E9A">
      <w:pPr>
        <w:rPr>
          <w:rFonts w:ascii="Times New Roman" w:hAnsi="Times New Roman" w:cs="Times New Roman"/>
          <w:sz w:val="24"/>
          <w:szCs w:val="24"/>
        </w:rPr>
      </w:pPr>
      <w:r w:rsidRPr="00F61A0E">
        <w:rPr>
          <w:rFonts w:ascii="Times New Roman" w:hAnsi="Times New Roman" w:cs="Times New Roman"/>
          <w:sz w:val="24"/>
          <w:szCs w:val="24"/>
        </w:rPr>
        <w:t>Trade Balance: Insignificant (p &gt; 0.05), showing little influence on GDP growth.</w:t>
      </w:r>
    </w:p>
    <w:p w:rsidR="00C70D1A" w:rsidRPr="00F61A0E" w:rsidRDefault="00C70D1A" w:rsidP="00296E9A">
      <w:pPr>
        <w:spacing w:after="0" w:line="240" w:lineRule="auto"/>
        <w:jc w:val="both"/>
        <w:rPr>
          <w:rFonts w:ascii="Times New Roman" w:hAnsi="Times New Roman" w:cs="Times New Roman"/>
          <w:sz w:val="24"/>
          <w:szCs w:val="24"/>
        </w:rPr>
      </w:pPr>
    </w:p>
    <w:p w:rsidR="002E4455" w:rsidRPr="00F61A0E" w:rsidRDefault="002E4455" w:rsidP="002E4455">
      <w:pPr>
        <w:rPr>
          <w:rFonts w:ascii="Times New Roman" w:hAnsi="Times New Roman" w:cs="Times New Roman"/>
          <w:b/>
          <w:sz w:val="24"/>
          <w:szCs w:val="24"/>
        </w:rPr>
      </w:pPr>
      <w:r w:rsidRPr="00F61A0E">
        <w:rPr>
          <w:rFonts w:ascii="Times New Roman" w:hAnsi="Times New Roman" w:cs="Times New Roman"/>
          <w:b/>
          <w:sz w:val="24"/>
          <w:szCs w:val="24"/>
        </w:rPr>
        <w:t>Diagnostic Tests and Visualizations</w:t>
      </w:r>
    </w:p>
    <w:p w:rsidR="00C70D1A" w:rsidRPr="00F61A0E" w:rsidRDefault="002E4455" w:rsidP="002E4455">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b/>
          <w:sz w:val="24"/>
          <w:szCs w:val="24"/>
        </w:rPr>
        <w:t>Variance Inflation</w:t>
      </w:r>
      <w:r w:rsidR="00C70D1A" w:rsidRPr="00F61A0E">
        <w:rPr>
          <w:rFonts w:ascii="Times New Roman" w:hAnsi="Times New Roman" w:cs="Times New Roman"/>
          <w:sz w:val="24"/>
          <w:szCs w:val="24"/>
        </w:rPr>
        <w:br/>
      </w:r>
    </w:p>
    <w:tbl>
      <w:tblPr>
        <w:tblStyle w:val="TableGrid"/>
        <w:tblW w:w="0" w:type="auto"/>
        <w:tblLook w:val="04A0" w:firstRow="1" w:lastRow="0" w:firstColumn="1" w:lastColumn="0" w:noHBand="0" w:noVBand="1"/>
      </w:tblPr>
      <w:tblGrid>
        <w:gridCol w:w="1110"/>
        <w:gridCol w:w="630"/>
        <w:gridCol w:w="1765"/>
      </w:tblGrid>
      <w:tr w:rsidR="00C70D1A" w:rsidRPr="00C70D1A" w:rsidTr="00C70D1A">
        <w:tc>
          <w:tcPr>
            <w:tcW w:w="0" w:type="auto"/>
            <w:hideMark/>
          </w:tcPr>
          <w:p w:rsidR="00C70D1A" w:rsidRPr="00C70D1A" w:rsidRDefault="00C70D1A" w:rsidP="00C70D1A">
            <w:pPr>
              <w:suppressAutoHyphens w:val="0"/>
              <w:spacing w:after="0" w:line="240" w:lineRule="auto"/>
              <w:jc w:val="center"/>
              <w:rPr>
                <w:rFonts w:ascii="Times New Roman" w:eastAsia="Times New Roman" w:hAnsi="Times New Roman" w:cs="Times New Roman"/>
                <w:b/>
                <w:bCs/>
                <w:sz w:val="24"/>
                <w:szCs w:val="24"/>
              </w:rPr>
            </w:pPr>
            <w:r w:rsidRPr="00C70D1A">
              <w:rPr>
                <w:rFonts w:ascii="Times New Roman" w:eastAsia="Times New Roman" w:hAnsi="Times New Roman" w:cs="Times New Roman"/>
                <w:b/>
                <w:bCs/>
                <w:sz w:val="24"/>
                <w:szCs w:val="24"/>
              </w:rPr>
              <w:t>Variable</w:t>
            </w:r>
          </w:p>
        </w:tc>
        <w:tc>
          <w:tcPr>
            <w:tcW w:w="0" w:type="auto"/>
            <w:hideMark/>
          </w:tcPr>
          <w:p w:rsidR="00C70D1A" w:rsidRPr="00C70D1A" w:rsidRDefault="00C70D1A" w:rsidP="00C70D1A">
            <w:pPr>
              <w:suppressAutoHyphens w:val="0"/>
              <w:spacing w:after="0" w:line="240" w:lineRule="auto"/>
              <w:jc w:val="center"/>
              <w:rPr>
                <w:rFonts w:ascii="Times New Roman" w:eastAsia="Times New Roman" w:hAnsi="Times New Roman" w:cs="Times New Roman"/>
                <w:b/>
                <w:bCs/>
                <w:sz w:val="24"/>
                <w:szCs w:val="24"/>
              </w:rPr>
            </w:pPr>
            <w:r w:rsidRPr="00C70D1A">
              <w:rPr>
                <w:rFonts w:ascii="Times New Roman" w:eastAsia="Times New Roman" w:hAnsi="Times New Roman" w:cs="Times New Roman"/>
                <w:b/>
                <w:bCs/>
                <w:sz w:val="24"/>
                <w:szCs w:val="24"/>
              </w:rPr>
              <w:t>VIF</w:t>
            </w:r>
          </w:p>
        </w:tc>
        <w:tc>
          <w:tcPr>
            <w:tcW w:w="1765" w:type="dxa"/>
            <w:hideMark/>
          </w:tcPr>
          <w:p w:rsidR="00C70D1A" w:rsidRPr="00C70D1A" w:rsidRDefault="00C70D1A" w:rsidP="00C70D1A">
            <w:pPr>
              <w:suppressAutoHyphens w:val="0"/>
              <w:spacing w:after="0" w:line="240" w:lineRule="auto"/>
              <w:jc w:val="center"/>
              <w:rPr>
                <w:rFonts w:ascii="Times New Roman" w:eastAsia="Times New Roman" w:hAnsi="Times New Roman" w:cs="Times New Roman"/>
                <w:b/>
                <w:bCs/>
                <w:sz w:val="24"/>
                <w:szCs w:val="24"/>
              </w:rPr>
            </w:pPr>
            <w:r w:rsidRPr="00C70D1A">
              <w:rPr>
                <w:rFonts w:ascii="Times New Roman" w:eastAsia="Times New Roman" w:hAnsi="Times New Roman" w:cs="Times New Roman"/>
                <w:b/>
                <w:bCs/>
                <w:sz w:val="24"/>
                <w:szCs w:val="24"/>
              </w:rPr>
              <w:t>Interpretation</w:t>
            </w:r>
          </w:p>
        </w:tc>
      </w:tr>
    </w:tbl>
    <w:p w:rsidR="00C70D1A" w:rsidRPr="00C70D1A" w:rsidRDefault="00C70D1A" w:rsidP="00C70D1A">
      <w:pPr>
        <w:suppressAutoHyphens w:val="0"/>
        <w:spacing w:after="0" w:line="240" w:lineRule="auto"/>
        <w:rPr>
          <w:rFonts w:ascii="Times New Roman" w:eastAsia="Times New Roman" w:hAnsi="Times New Roman" w:cs="Times New Roman"/>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5"/>
        <w:gridCol w:w="630"/>
        <w:gridCol w:w="1772"/>
      </w:tblGrid>
      <w:tr w:rsidR="00C70D1A" w:rsidRPr="00C70D1A" w:rsidTr="00C70D1A">
        <w:trPr>
          <w:tblCellSpacing w:w="15" w:type="dxa"/>
        </w:trPr>
        <w:tc>
          <w:tcPr>
            <w:tcW w:w="1030" w:type="dxa"/>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F61A0E">
              <w:rPr>
                <w:rFonts w:ascii="Times New Roman" w:eastAsia="Times New Roman" w:hAnsi="Times New Roman" w:cs="Times New Roman"/>
                <w:b/>
                <w:bCs/>
                <w:sz w:val="24"/>
                <w:szCs w:val="24"/>
              </w:rPr>
              <w:t>FDI</w:t>
            </w:r>
          </w:p>
        </w:tc>
        <w:tc>
          <w:tcPr>
            <w:tcW w:w="600" w:type="dxa"/>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2.1</w:t>
            </w:r>
          </w:p>
        </w:tc>
        <w:tc>
          <w:tcPr>
            <w:tcW w:w="1727" w:type="dxa"/>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No multicollinearity issue</w:t>
            </w:r>
          </w:p>
        </w:tc>
      </w:tr>
    </w:tbl>
    <w:p w:rsidR="00C70D1A" w:rsidRPr="00C70D1A" w:rsidRDefault="00C70D1A" w:rsidP="00C70D1A">
      <w:pPr>
        <w:suppressAutoHyphens w:val="0"/>
        <w:spacing w:after="0" w:line="240" w:lineRule="auto"/>
        <w:rPr>
          <w:rFonts w:ascii="Times New Roman" w:eastAsia="Times New Roman" w:hAnsi="Times New Roman" w:cs="Times New Roman"/>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5"/>
        <w:gridCol w:w="630"/>
        <w:gridCol w:w="1800"/>
      </w:tblGrid>
      <w:tr w:rsidR="00C70D1A" w:rsidRPr="00C70D1A" w:rsidTr="00C70D1A">
        <w:trPr>
          <w:tblCellSpacing w:w="15" w:type="dxa"/>
        </w:trPr>
        <w:tc>
          <w:tcPr>
            <w:tcW w:w="1030" w:type="dxa"/>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F61A0E">
              <w:rPr>
                <w:rFonts w:ascii="Times New Roman" w:eastAsia="Times New Roman" w:hAnsi="Times New Roman" w:cs="Times New Roman"/>
                <w:b/>
                <w:bCs/>
                <w:sz w:val="24"/>
                <w:szCs w:val="24"/>
              </w:rPr>
              <w:t>Gov Spending</w:t>
            </w:r>
          </w:p>
        </w:tc>
        <w:tc>
          <w:tcPr>
            <w:tcW w:w="600" w:type="dxa"/>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1.8</w:t>
            </w:r>
          </w:p>
        </w:tc>
        <w:tc>
          <w:tcPr>
            <w:tcW w:w="1755" w:type="dxa"/>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No multicollinearity issue</w:t>
            </w:r>
          </w:p>
        </w:tc>
      </w:tr>
    </w:tbl>
    <w:p w:rsidR="00C70D1A" w:rsidRPr="00C70D1A" w:rsidRDefault="00C70D1A" w:rsidP="00C70D1A">
      <w:pPr>
        <w:suppressAutoHyphens w:val="0"/>
        <w:spacing w:after="0" w:line="240" w:lineRule="auto"/>
        <w:rPr>
          <w:rFonts w:ascii="Times New Roman" w:eastAsia="Times New Roman" w:hAnsi="Times New Roman" w:cs="Times New Roman"/>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5"/>
        <w:gridCol w:w="630"/>
        <w:gridCol w:w="1800"/>
      </w:tblGrid>
      <w:tr w:rsidR="00C70D1A" w:rsidRPr="00C70D1A" w:rsidTr="00C70D1A">
        <w:trPr>
          <w:tblCellSpacing w:w="15" w:type="dxa"/>
        </w:trPr>
        <w:tc>
          <w:tcPr>
            <w:tcW w:w="1030" w:type="dxa"/>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F61A0E">
              <w:rPr>
                <w:rFonts w:ascii="Times New Roman" w:eastAsia="Times New Roman" w:hAnsi="Times New Roman" w:cs="Times New Roman"/>
                <w:b/>
                <w:bCs/>
                <w:sz w:val="24"/>
                <w:szCs w:val="24"/>
              </w:rPr>
              <w:t>Trade Balance</w:t>
            </w:r>
          </w:p>
        </w:tc>
        <w:tc>
          <w:tcPr>
            <w:tcW w:w="600" w:type="dxa"/>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1.5</w:t>
            </w:r>
          </w:p>
        </w:tc>
        <w:tc>
          <w:tcPr>
            <w:tcW w:w="1755" w:type="dxa"/>
            <w:vAlign w:val="center"/>
            <w:hideMark/>
          </w:tcPr>
          <w:p w:rsidR="00C70D1A" w:rsidRPr="00C70D1A" w:rsidRDefault="00C70D1A" w:rsidP="00C70D1A">
            <w:pPr>
              <w:suppressAutoHyphens w:val="0"/>
              <w:spacing w:after="0" w:line="240" w:lineRule="auto"/>
              <w:rPr>
                <w:rFonts w:ascii="Times New Roman" w:eastAsia="Times New Roman" w:hAnsi="Times New Roman" w:cs="Times New Roman"/>
                <w:sz w:val="24"/>
                <w:szCs w:val="24"/>
              </w:rPr>
            </w:pPr>
            <w:r w:rsidRPr="00C70D1A">
              <w:rPr>
                <w:rFonts w:ascii="Times New Roman" w:eastAsia="Times New Roman" w:hAnsi="Times New Roman" w:cs="Times New Roman"/>
                <w:sz w:val="24"/>
                <w:szCs w:val="24"/>
              </w:rPr>
              <w:t>No multicollinearity issue</w:t>
            </w:r>
          </w:p>
        </w:tc>
      </w:tr>
    </w:tbl>
    <w:p w:rsidR="00CB5ECD" w:rsidRPr="00F61A0E" w:rsidRDefault="00CB5ECD" w:rsidP="00CB5ECD">
      <w:pPr>
        <w:rPr>
          <w:rFonts w:ascii="Times New Roman" w:hAnsi="Times New Roman" w:cs="Times New Roman"/>
          <w:sz w:val="24"/>
          <w:szCs w:val="24"/>
        </w:rPr>
      </w:pPr>
      <w:r w:rsidRPr="00F61A0E">
        <w:rPr>
          <w:rFonts w:ascii="Times New Roman" w:hAnsi="Times New Roman" w:cs="Times New Roman"/>
          <w:sz w:val="24"/>
          <w:szCs w:val="24"/>
        </w:rPr>
        <w:t>2.</w:t>
      </w:r>
      <w:r w:rsidRPr="00F61A0E">
        <w:rPr>
          <w:rFonts w:ascii="Times New Roman" w:hAnsi="Times New Roman" w:cs="Times New Roman"/>
          <w:sz w:val="24"/>
          <w:szCs w:val="24"/>
        </w:rPr>
        <w:tab/>
        <w:t>Breusch-Pagan Test (for Heteroskedasticity):</w:t>
      </w:r>
    </w:p>
    <w:p w:rsidR="00CB5ECD" w:rsidRPr="00F61A0E" w:rsidRDefault="00CB5ECD" w:rsidP="00CB5ECD">
      <w:pPr>
        <w:rPr>
          <w:rFonts w:ascii="Times New Roman" w:hAnsi="Times New Roman" w:cs="Times New Roman"/>
          <w:sz w:val="24"/>
          <w:szCs w:val="24"/>
        </w:rPr>
      </w:pPr>
      <w:r w:rsidRPr="00F61A0E">
        <w:rPr>
          <w:rFonts w:ascii="Times New Roman" w:hAnsi="Times New Roman" w:cs="Times New Roman"/>
          <w:sz w:val="24"/>
          <w:szCs w:val="24"/>
        </w:rPr>
        <w:t>Chi-squared = 2.89, p-value = 0.089 (no evidence of heteroskedasticity).</w:t>
      </w:r>
    </w:p>
    <w:p w:rsidR="00CB5ECD" w:rsidRPr="00F61A0E" w:rsidRDefault="00CB5ECD" w:rsidP="00CB5ECD">
      <w:pPr>
        <w:rPr>
          <w:rFonts w:ascii="Times New Roman" w:hAnsi="Times New Roman" w:cs="Times New Roman"/>
          <w:sz w:val="24"/>
          <w:szCs w:val="24"/>
        </w:rPr>
      </w:pPr>
      <w:r w:rsidRPr="00F61A0E">
        <w:rPr>
          <w:rFonts w:ascii="Times New Roman" w:hAnsi="Times New Roman" w:cs="Times New Roman"/>
          <w:sz w:val="24"/>
          <w:szCs w:val="24"/>
        </w:rPr>
        <w:t>3.</w:t>
      </w:r>
      <w:r w:rsidRPr="00F61A0E">
        <w:rPr>
          <w:rFonts w:ascii="Times New Roman" w:hAnsi="Times New Roman" w:cs="Times New Roman"/>
          <w:sz w:val="24"/>
          <w:szCs w:val="24"/>
        </w:rPr>
        <w:tab/>
        <w:t>Durbin-Watson Statistic (for Autocorrelation):</w:t>
      </w:r>
    </w:p>
    <w:p w:rsidR="00411D1B" w:rsidRPr="00F61A0E" w:rsidRDefault="00CB5ECD" w:rsidP="00411D1B">
      <w:pPr>
        <w:rPr>
          <w:rFonts w:ascii="Times New Roman" w:hAnsi="Times New Roman" w:cs="Times New Roman"/>
          <w:sz w:val="24"/>
          <w:szCs w:val="24"/>
        </w:rPr>
      </w:pPr>
      <w:r w:rsidRPr="00F61A0E">
        <w:rPr>
          <w:rFonts w:ascii="Times New Roman" w:hAnsi="Times New Roman" w:cs="Times New Roman"/>
          <w:sz w:val="24"/>
          <w:szCs w:val="24"/>
        </w:rPr>
        <w:t>Value = 1.78 (no significant autocorrelation).</w:t>
      </w:r>
    </w:p>
    <w:p w:rsidR="00411D1B" w:rsidRPr="00F61A0E" w:rsidRDefault="00411D1B" w:rsidP="00411D1B">
      <w:pPr>
        <w:rPr>
          <w:rFonts w:ascii="Times New Roman" w:hAnsi="Times New Roman" w:cs="Times New Roman"/>
          <w:sz w:val="24"/>
          <w:szCs w:val="24"/>
        </w:rPr>
      </w:pPr>
      <w:r w:rsidRPr="00F61A0E">
        <w:rPr>
          <w:rFonts w:ascii="Times New Roman" w:hAnsi="Times New Roman" w:cs="Times New Roman"/>
          <w:b/>
          <w:sz w:val="24"/>
          <w:szCs w:val="24"/>
        </w:rPr>
        <w:t xml:space="preserve"> OLS Regression Summary</w:t>
      </w:r>
    </w:p>
    <w:p w:rsidR="00411D1B" w:rsidRPr="00F61A0E" w:rsidRDefault="00411D1B" w:rsidP="00411D1B">
      <w:pPr>
        <w:rPr>
          <w:rFonts w:ascii="Times New Roman" w:hAnsi="Times New Roman" w:cs="Times New Roman"/>
          <w:sz w:val="24"/>
          <w:szCs w:val="24"/>
        </w:rPr>
      </w:pPr>
      <w:r w:rsidRPr="00F61A0E">
        <w:rPr>
          <w:rFonts w:ascii="Times New Roman" w:hAnsi="Times New Roman" w:cs="Times New Roman"/>
          <w:sz w:val="24"/>
          <w:szCs w:val="24"/>
        </w:rPr>
        <w:t>Dependent Variable: GDP Growth (%)</w:t>
      </w:r>
    </w:p>
    <w:p w:rsidR="00411D1B" w:rsidRPr="00F61A0E" w:rsidRDefault="00411D1B" w:rsidP="00411D1B">
      <w:pPr>
        <w:rPr>
          <w:rFonts w:ascii="Times New Roman" w:hAnsi="Times New Roman" w:cs="Times New Roman"/>
          <w:sz w:val="24"/>
          <w:szCs w:val="24"/>
        </w:rPr>
      </w:pPr>
      <w:r w:rsidRPr="00F61A0E">
        <w:rPr>
          <w:rFonts w:ascii="Times New Roman" w:hAnsi="Times New Roman" w:cs="Times New Roman"/>
          <w:sz w:val="24"/>
          <w:szCs w:val="24"/>
        </w:rPr>
        <w:t>Independent Variables: FDI (% of GDP), Government Spending (% of GDP), Trade Balance (% of GDP).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2"/>
        <w:gridCol w:w="1200"/>
        <w:gridCol w:w="1147"/>
        <w:gridCol w:w="2220"/>
        <w:gridCol w:w="909"/>
      </w:tblGrid>
      <w:tr w:rsidR="00411D1B" w:rsidRPr="00411D1B" w:rsidTr="00411D1B">
        <w:trPr>
          <w:tblHeader/>
          <w:tblCellSpacing w:w="15" w:type="dxa"/>
        </w:trPr>
        <w:tc>
          <w:tcPr>
            <w:tcW w:w="0" w:type="auto"/>
            <w:vAlign w:val="center"/>
            <w:hideMark/>
          </w:tcPr>
          <w:p w:rsidR="00411D1B" w:rsidRPr="00411D1B" w:rsidRDefault="00411D1B" w:rsidP="00411D1B">
            <w:pPr>
              <w:suppressAutoHyphens w:val="0"/>
              <w:spacing w:after="0" w:line="240" w:lineRule="auto"/>
              <w:jc w:val="center"/>
              <w:rPr>
                <w:rFonts w:ascii="Times New Roman" w:eastAsia="Times New Roman" w:hAnsi="Times New Roman" w:cs="Times New Roman"/>
                <w:b/>
                <w:bCs/>
                <w:sz w:val="24"/>
                <w:szCs w:val="24"/>
              </w:rPr>
            </w:pPr>
            <w:r w:rsidRPr="00F61A0E">
              <w:rPr>
                <w:rFonts w:ascii="Times New Roman" w:eastAsia="Times New Roman" w:hAnsi="Times New Roman" w:cs="Times New Roman"/>
                <w:b/>
                <w:bCs/>
                <w:sz w:val="24"/>
                <w:szCs w:val="24"/>
              </w:rPr>
              <w:t>Variable</w:t>
            </w:r>
          </w:p>
        </w:tc>
        <w:tc>
          <w:tcPr>
            <w:tcW w:w="0" w:type="auto"/>
            <w:vAlign w:val="center"/>
            <w:hideMark/>
          </w:tcPr>
          <w:p w:rsidR="00411D1B" w:rsidRPr="00411D1B" w:rsidRDefault="00411D1B" w:rsidP="00411D1B">
            <w:pPr>
              <w:suppressAutoHyphens w:val="0"/>
              <w:spacing w:after="0" w:line="240" w:lineRule="auto"/>
              <w:jc w:val="center"/>
              <w:rPr>
                <w:rFonts w:ascii="Times New Roman" w:eastAsia="Times New Roman" w:hAnsi="Times New Roman" w:cs="Times New Roman"/>
                <w:b/>
                <w:bCs/>
                <w:sz w:val="24"/>
                <w:szCs w:val="24"/>
              </w:rPr>
            </w:pPr>
            <w:r w:rsidRPr="00F61A0E">
              <w:rPr>
                <w:rFonts w:ascii="Times New Roman" w:eastAsia="Times New Roman" w:hAnsi="Times New Roman" w:cs="Times New Roman"/>
                <w:b/>
                <w:bCs/>
                <w:sz w:val="24"/>
                <w:szCs w:val="24"/>
              </w:rPr>
              <w:t>Coefficient</w:t>
            </w:r>
          </w:p>
        </w:tc>
        <w:tc>
          <w:tcPr>
            <w:tcW w:w="0" w:type="auto"/>
            <w:vAlign w:val="center"/>
            <w:hideMark/>
          </w:tcPr>
          <w:p w:rsidR="00411D1B" w:rsidRPr="00411D1B" w:rsidRDefault="00411D1B" w:rsidP="00411D1B">
            <w:pPr>
              <w:suppressAutoHyphens w:val="0"/>
              <w:spacing w:after="0" w:line="240" w:lineRule="auto"/>
              <w:jc w:val="center"/>
              <w:rPr>
                <w:rFonts w:ascii="Times New Roman" w:eastAsia="Times New Roman" w:hAnsi="Times New Roman" w:cs="Times New Roman"/>
                <w:b/>
                <w:bCs/>
                <w:sz w:val="24"/>
                <w:szCs w:val="24"/>
              </w:rPr>
            </w:pPr>
            <w:r w:rsidRPr="00F61A0E">
              <w:rPr>
                <w:rFonts w:ascii="Times New Roman" w:eastAsia="Times New Roman" w:hAnsi="Times New Roman" w:cs="Times New Roman"/>
                <w:b/>
                <w:bCs/>
                <w:sz w:val="24"/>
                <w:szCs w:val="24"/>
              </w:rPr>
              <w:t>Std. Error</w:t>
            </w:r>
          </w:p>
        </w:tc>
        <w:tc>
          <w:tcPr>
            <w:tcW w:w="0" w:type="auto"/>
            <w:vAlign w:val="center"/>
            <w:hideMark/>
          </w:tcPr>
          <w:p w:rsidR="00411D1B" w:rsidRPr="00411D1B" w:rsidRDefault="00411D1B" w:rsidP="00411D1B">
            <w:pPr>
              <w:suppressAutoHyphens w:val="0"/>
              <w:spacing w:after="0" w:line="240" w:lineRule="auto"/>
              <w:jc w:val="center"/>
              <w:rPr>
                <w:rFonts w:ascii="Times New Roman" w:eastAsia="Times New Roman" w:hAnsi="Times New Roman" w:cs="Times New Roman"/>
                <w:b/>
                <w:bCs/>
                <w:sz w:val="24"/>
                <w:szCs w:val="24"/>
              </w:rPr>
            </w:pPr>
            <w:r w:rsidRPr="00F61A0E">
              <w:rPr>
                <w:rFonts w:ascii="Times New Roman" w:eastAsia="Times New Roman" w:hAnsi="Times New Roman" w:cs="Times New Roman"/>
                <w:b/>
                <w:bCs/>
                <w:sz w:val="24"/>
                <w:szCs w:val="24"/>
              </w:rPr>
              <w:t>t-Statistic</w:t>
            </w:r>
          </w:p>
        </w:tc>
        <w:tc>
          <w:tcPr>
            <w:tcW w:w="0" w:type="auto"/>
            <w:vAlign w:val="center"/>
            <w:hideMark/>
          </w:tcPr>
          <w:p w:rsidR="00411D1B" w:rsidRPr="00411D1B" w:rsidRDefault="00411D1B" w:rsidP="00411D1B">
            <w:pPr>
              <w:suppressAutoHyphens w:val="0"/>
              <w:spacing w:after="0" w:line="240" w:lineRule="auto"/>
              <w:jc w:val="center"/>
              <w:rPr>
                <w:rFonts w:ascii="Times New Roman" w:eastAsia="Times New Roman" w:hAnsi="Times New Roman" w:cs="Times New Roman"/>
                <w:b/>
                <w:bCs/>
                <w:sz w:val="24"/>
                <w:szCs w:val="24"/>
              </w:rPr>
            </w:pPr>
            <w:r w:rsidRPr="00F61A0E">
              <w:rPr>
                <w:rFonts w:ascii="Times New Roman" w:eastAsia="Times New Roman" w:hAnsi="Times New Roman" w:cs="Times New Roman"/>
                <w:b/>
                <w:bCs/>
                <w:sz w:val="24"/>
                <w:szCs w:val="24"/>
              </w:rPr>
              <w:t>p-Value</w:t>
            </w:r>
          </w:p>
        </w:tc>
      </w:tr>
      <w:tr w:rsidR="00411D1B" w:rsidRPr="00411D1B" w:rsidTr="00411D1B">
        <w:trPr>
          <w:tblCellSpacing w:w="15" w:type="dxa"/>
        </w:trPr>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Constant</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Positive</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Significant</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w:t>
            </w:r>
          </w:p>
        </w:tc>
      </w:tr>
      <w:tr w:rsidR="00411D1B" w:rsidRPr="00411D1B" w:rsidTr="00411D1B">
        <w:trPr>
          <w:tblCellSpacing w:w="15" w:type="dxa"/>
        </w:trPr>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FDI</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Positive</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Marginally significant</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w:t>
            </w:r>
          </w:p>
        </w:tc>
      </w:tr>
      <w:tr w:rsidR="00411D1B" w:rsidRPr="00411D1B" w:rsidTr="00411D1B">
        <w:trPr>
          <w:tblCellSpacing w:w="15" w:type="dxa"/>
        </w:trPr>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Government Spending</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Negative</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Marginally significant</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w:t>
            </w:r>
          </w:p>
        </w:tc>
      </w:tr>
      <w:tr w:rsidR="00411D1B" w:rsidRPr="00411D1B" w:rsidTr="00411D1B">
        <w:trPr>
          <w:tblCellSpacing w:w="15" w:type="dxa"/>
        </w:trPr>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Trade Balance</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Insignificant</w:t>
            </w:r>
          </w:p>
        </w:tc>
        <w:tc>
          <w:tcPr>
            <w:tcW w:w="0" w:type="auto"/>
            <w:vAlign w:val="center"/>
            <w:hideMark/>
          </w:tcPr>
          <w:p w:rsidR="00411D1B" w:rsidRPr="00411D1B" w:rsidRDefault="00411D1B" w:rsidP="00411D1B">
            <w:pPr>
              <w:suppressAutoHyphens w:val="0"/>
              <w:spacing w:after="0" w:line="240" w:lineRule="auto"/>
              <w:rPr>
                <w:rFonts w:ascii="Times New Roman" w:eastAsia="Times New Roman" w:hAnsi="Times New Roman" w:cs="Times New Roman"/>
                <w:sz w:val="24"/>
                <w:szCs w:val="24"/>
              </w:rPr>
            </w:pPr>
            <w:r w:rsidRPr="00411D1B">
              <w:rPr>
                <w:rFonts w:ascii="Times New Roman" w:eastAsia="Times New Roman" w:hAnsi="Times New Roman" w:cs="Times New Roman"/>
                <w:sz w:val="24"/>
                <w:szCs w:val="24"/>
              </w:rPr>
              <w:t>--</w:t>
            </w:r>
          </w:p>
        </w:tc>
      </w:tr>
    </w:tbl>
    <w:p w:rsidR="00411D1B" w:rsidRPr="00F61A0E" w:rsidRDefault="00411D1B" w:rsidP="00411D1B">
      <w:pPr>
        <w:rPr>
          <w:rFonts w:ascii="Times New Roman" w:hAnsi="Times New Roman" w:cs="Times New Roman"/>
          <w:sz w:val="24"/>
          <w:szCs w:val="24"/>
        </w:rPr>
      </w:pPr>
    </w:p>
    <w:p w:rsidR="00411D1B" w:rsidRPr="00F61A0E" w:rsidRDefault="00411D1B" w:rsidP="00CB5ECD">
      <w:pPr>
        <w:rPr>
          <w:rFonts w:ascii="Times New Roman" w:hAnsi="Times New Roman" w:cs="Times New Roman"/>
          <w:sz w:val="24"/>
          <w:szCs w:val="24"/>
        </w:rPr>
      </w:pPr>
    </w:p>
    <w:p w:rsidR="00BB1024" w:rsidRPr="00F61A0E" w:rsidRDefault="00243D89">
      <w:pPr>
        <w:spacing w:beforeAutospacing="1" w:afterAutospacing="1" w:line="480" w:lineRule="auto"/>
        <w:ind w:firstLine="360"/>
        <w:rPr>
          <w:rFonts w:ascii="Times New Roman" w:hAnsi="Times New Roman" w:cs="Times New Roman"/>
          <w:sz w:val="24"/>
          <w:szCs w:val="24"/>
        </w:rPr>
      </w:pPr>
      <w:r w:rsidRPr="00F61A0E">
        <w:rPr>
          <w:rFonts w:ascii="Times New Roman" w:hAnsi="Times New Roman" w:cs="Times New Roman"/>
          <w:b/>
          <w:sz w:val="24"/>
          <w:szCs w:val="24"/>
        </w:rPr>
        <w:lastRenderedPageBreak/>
        <w:t>3. Limited Effect of FDI in Low-Absorptive-Capacity Economies:</w:t>
      </w:r>
      <w:r w:rsidRPr="00F61A0E">
        <w:rPr>
          <w:rFonts w:ascii="Times New Roman" w:hAnsi="Times New Roman" w:cs="Times New Roman"/>
          <w:sz w:val="24"/>
          <w:szCs w:val="24"/>
        </w:rPr>
        <w:t xml:space="preserve"> The positive and significant relationship found between FDI and GDP growth gives credence to the hypothesis that a foreign investment is one of the drivers of economic development. However, gains through FDI might be different in various emerging markets since countries that have weak institutions, poor infrastructure, or political instability may not fully gain from the inflow of FDI, and the capital perhaps may not lead to expected growth</w:t>
      </w:r>
      <w:r w:rsidR="00ED43CF">
        <w:rPr>
          <w:rFonts w:ascii="Times New Roman" w:hAnsi="Times New Roman" w:cs="Times New Roman"/>
          <w:sz w:val="24"/>
          <w:szCs w:val="24"/>
        </w:rPr>
        <w:t xml:space="preserve"> (</w:t>
      </w:r>
      <w:r w:rsidR="00ED43CF">
        <w:rPr>
          <w:rFonts w:ascii="Arial" w:hAnsi="Arial" w:cs="Arial"/>
          <w:color w:val="222222"/>
          <w:sz w:val="20"/>
          <w:szCs w:val="20"/>
          <w:shd w:val="clear" w:color="auto" w:fill="FFFFFF"/>
        </w:rPr>
        <w:t>Teunen</w:t>
      </w:r>
      <w:r w:rsidR="00ED43CF">
        <w:rPr>
          <w:rFonts w:ascii="Arial" w:hAnsi="Arial" w:cs="Arial"/>
          <w:color w:val="222222"/>
          <w:sz w:val="20"/>
          <w:szCs w:val="20"/>
          <w:shd w:val="clear" w:color="auto" w:fill="FFFFFF"/>
        </w:rPr>
        <w:t>, 2022)</w:t>
      </w:r>
      <w:r w:rsidRPr="00F61A0E">
        <w:rPr>
          <w:rFonts w:ascii="Times New Roman" w:hAnsi="Times New Roman" w:cs="Times New Roman"/>
          <w:sz w:val="24"/>
          <w:szCs w:val="24"/>
        </w:rPr>
        <w:t>. Further research might be relevant on the heterogeneity of impact of FDI between regions, sectors, and governance and other institutional qualities that moderate such interaction.</w:t>
      </w:r>
    </w:p>
    <w:p w:rsidR="00BB1024" w:rsidRPr="00F61A0E" w:rsidRDefault="00243D89">
      <w:pPr>
        <w:pStyle w:val="Heading3"/>
        <w:spacing w:beforeAutospacing="1" w:afterAutospacing="1" w:line="480" w:lineRule="auto"/>
        <w:ind w:firstLine="360"/>
        <w:rPr>
          <w:rFonts w:ascii="Times New Roman" w:hAnsi="Times New Roman" w:cs="Times New Roman"/>
        </w:rPr>
      </w:pPr>
      <w:r w:rsidRPr="00F61A0E">
        <w:rPr>
          <w:rStyle w:val="Strong"/>
          <w:rFonts w:ascii="Times New Roman" w:hAnsi="Times New Roman" w:cs="Times New Roman"/>
          <w:color w:val="000000"/>
        </w:rPr>
        <w:t>1. Descriptive Statistics Table</w:t>
      </w:r>
    </w:p>
    <w:tbl>
      <w:tblPr>
        <w:tblW w:w="8211" w:type="dxa"/>
        <w:tblInd w:w="-5" w:type="dxa"/>
        <w:tblLayout w:type="fixed"/>
        <w:tblCellMar>
          <w:top w:w="55" w:type="dxa"/>
          <w:left w:w="55" w:type="dxa"/>
          <w:bottom w:w="55" w:type="dxa"/>
          <w:right w:w="55" w:type="dxa"/>
        </w:tblCellMar>
        <w:tblLook w:val="04A0" w:firstRow="1" w:lastRow="0" w:firstColumn="1" w:lastColumn="0" w:noHBand="0" w:noVBand="1"/>
      </w:tblPr>
      <w:tblGrid>
        <w:gridCol w:w="2830"/>
        <w:gridCol w:w="919"/>
        <w:gridCol w:w="2030"/>
        <w:gridCol w:w="1169"/>
        <w:gridCol w:w="1263"/>
      </w:tblGrid>
      <w:tr w:rsidR="00BB1024" w:rsidRPr="00F61A0E">
        <w:trPr>
          <w:tblHeader/>
        </w:trPr>
        <w:tc>
          <w:tcPr>
            <w:tcW w:w="2830"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Variable</w:t>
            </w:r>
          </w:p>
        </w:tc>
        <w:tc>
          <w:tcPr>
            <w:tcW w:w="919"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Mean</w:t>
            </w:r>
          </w:p>
        </w:tc>
        <w:tc>
          <w:tcPr>
            <w:tcW w:w="2030"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Standard Deviation</w:t>
            </w:r>
          </w:p>
        </w:tc>
        <w:tc>
          <w:tcPr>
            <w:tcW w:w="1169"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Minimum</w:t>
            </w:r>
          </w:p>
        </w:tc>
        <w:tc>
          <w:tcPr>
            <w:tcW w:w="1263"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Maximum</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GDP Growth (%)</w:t>
            </w:r>
          </w:p>
        </w:tc>
        <w:tc>
          <w:tcPr>
            <w:tcW w:w="91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4.2</w:t>
            </w:r>
          </w:p>
        </w:tc>
        <w:tc>
          <w:tcPr>
            <w:tcW w:w="20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2.8</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-1.5</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9.3</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FDI (% of GDP)</w:t>
            </w:r>
          </w:p>
        </w:tc>
        <w:tc>
          <w:tcPr>
            <w:tcW w:w="91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3.5</w:t>
            </w:r>
          </w:p>
        </w:tc>
        <w:tc>
          <w:tcPr>
            <w:tcW w:w="20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2.1</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0.7</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8.4</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Government Spending (%)</w:t>
            </w:r>
          </w:p>
        </w:tc>
        <w:tc>
          <w:tcPr>
            <w:tcW w:w="91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20.0</w:t>
            </w:r>
          </w:p>
        </w:tc>
        <w:tc>
          <w:tcPr>
            <w:tcW w:w="20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6.0</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10.2</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32.4</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Trade Balance (% of GDP)</w:t>
            </w:r>
          </w:p>
        </w:tc>
        <w:tc>
          <w:tcPr>
            <w:tcW w:w="91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0.0</w:t>
            </w:r>
          </w:p>
        </w:tc>
        <w:tc>
          <w:tcPr>
            <w:tcW w:w="20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3.7</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-6.5</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5.4</w:t>
            </w:r>
          </w:p>
        </w:tc>
      </w:tr>
    </w:tbl>
    <w:p w:rsidR="00BB1024" w:rsidRPr="00F61A0E" w:rsidRDefault="00243D89">
      <w:pPr>
        <w:pStyle w:val="Heading3"/>
        <w:spacing w:after="283"/>
        <w:rPr>
          <w:rFonts w:ascii="Times New Roman" w:hAnsi="Times New Roman" w:cs="Times New Roman"/>
        </w:rPr>
      </w:pPr>
      <w:r w:rsidRPr="00F61A0E">
        <w:rPr>
          <w:rStyle w:val="Strong"/>
          <w:rFonts w:ascii="Times New Roman" w:hAnsi="Times New Roman" w:cs="Times New Roman"/>
          <w:color w:val="000000"/>
        </w:rPr>
        <w:t>2. Regression Results Table</w:t>
      </w:r>
    </w:p>
    <w:tbl>
      <w:tblPr>
        <w:tblW w:w="9360" w:type="dxa"/>
        <w:tblInd w:w="-5" w:type="dxa"/>
        <w:tblLayout w:type="fixed"/>
        <w:tblCellMar>
          <w:top w:w="55" w:type="dxa"/>
          <w:left w:w="55" w:type="dxa"/>
          <w:bottom w:w="55" w:type="dxa"/>
          <w:right w:w="55" w:type="dxa"/>
        </w:tblCellMar>
        <w:tblLook w:val="04A0" w:firstRow="1" w:lastRow="0" w:firstColumn="1" w:lastColumn="0" w:noHBand="0" w:noVBand="1"/>
      </w:tblPr>
      <w:tblGrid>
        <w:gridCol w:w="2790"/>
        <w:gridCol w:w="1500"/>
        <w:gridCol w:w="1508"/>
        <w:gridCol w:w="1169"/>
        <w:gridCol w:w="916"/>
        <w:gridCol w:w="1477"/>
      </w:tblGrid>
      <w:tr w:rsidR="00BB1024" w:rsidRPr="00F61A0E">
        <w:trPr>
          <w:tblHeader/>
        </w:trPr>
        <w:tc>
          <w:tcPr>
            <w:tcW w:w="2789"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Variable</w:t>
            </w:r>
          </w:p>
        </w:tc>
        <w:tc>
          <w:tcPr>
            <w:tcW w:w="1500"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Coefficient</w:t>
            </w:r>
          </w:p>
        </w:tc>
        <w:tc>
          <w:tcPr>
            <w:tcW w:w="1508"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Standard Error</w:t>
            </w:r>
          </w:p>
        </w:tc>
        <w:tc>
          <w:tcPr>
            <w:tcW w:w="1169"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t-Statistic</w:t>
            </w:r>
          </w:p>
        </w:tc>
        <w:tc>
          <w:tcPr>
            <w:tcW w:w="916"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p-value</w:t>
            </w:r>
          </w:p>
        </w:tc>
        <w:tc>
          <w:tcPr>
            <w:tcW w:w="1477"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Significance</w:t>
            </w:r>
          </w:p>
        </w:tc>
      </w:tr>
      <w:tr w:rsidR="00BB1024" w:rsidRPr="00F61A0E">
        <w:tc>
          <w:tcPr>
            <w:tcW w:w="278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Intercept</w:t>
            </w:r>
          </w:p>
        </w:tc>
        <w:tc>
          <w:tcPr>
            <w:tcW w:w="150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2.350</w:t>
            </w:r>
          </w:p>
        </w:tc>
        <w:tc>
          <w:tcPr>
            <w:tcW w:w="150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0.874</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2.69</w:t>
            </w:r>
          </w:p>
        </w:tc>
        <w:tc>
          <w:tcPr>
            <w:tcW w:w="91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0.007</w:t>
            </w:r>
          </w:p>
        </w:tc>
        <w:tc>
          <w:tcPr>
            <w:tcW w:w="1477"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w:t>
            </w:r>
          </w:p>
        </w:tc>
      </w:tr>
      <w:tr w:rsidR="00BB1024" w:rsidRPr="00F61A0E">
        <w:tc>
          <w:tcPr>
            <w:tcW w:w="278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FDI (% of GDP)</w:t>
            </w:r>
          </w:p>
        </w:tc>
        <w:tc>
          <w:tcPr>
            <w:tcW w:w="150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0.457</w:t>
            </w:r>
          </w:p>
        </w:tc>
        <w:tc>
          <w:tcPr>
            <w:tcW w:w="150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0.136</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3.36</w:t>
            </w:r>
          </w:p>
        </w:tc>
        <w:tc>
          <w:tcPr>
            <w:tcW w:w="91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0.001</w:t>
            </w:r>
          </w:p>
        </w:tc>
        <w:tc>
          <w:tcPr>
            <w:tcW w:w="1477"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w:t>
            </w:r>
          </w:p>
        </w:tc>
      </w:tr>
      <w:tr w:rsidR="00BB1024" w:rsidRPr="00F61A0E">
        <w:tc>
          <w:tcPr>
            <w:tcW w:w="278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Government Spending (%)</w:t>
            </w:r>
          </w:p>
        </w:tc>
        <w:tc>
          <w:tcPr>
            <w:tcW w:w="150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0.245</w:t>
            </w:r>
          </w:p>
        </w:tc>
        <w:tc>
          <w:tcPr>
            <w:tcW w:w="150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0.122</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2.01</w:t>
            </w:r>
          </w:p>
        </w:tc>
        <w:tc>
          <w:tcPr>
            <w:tcW w:w="91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0.045</w:t>
            </w:r>
          </w:p>
        </w:tc>
        <w:tc>
          <w:tcPr>
            <w:tcW w:w="1477"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w:t>
            </w:r>
          </w:p>
        </w:tc>
      </w:tr>
      <w:tr w:rsidR="00BB1024" w:rsidRPr="00F61A0E">
        <w:tc>
          <w:tcPr>
            <w:tcW w:w="278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Trade Balance (% of GDP)</w:t>
            </w:r>
          </w:p>
        </w:tc>
        <w:tc>
          <w:tcPr>
            <w:tcW w:w="150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-0.378</w:t>
            </w:r>
          </w:p>
        </w:tc>
        <w:tc>
          <w:tcPr>
            <w:tcW w:w="150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0.210</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-1.80</w:t>
            </w:r>
          </w:p>
        </w:tc>
        <w:tc>
          <w:tcPr>
            <w:tcW w:w="91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0.074</w:t>
            </w:r>
          </w:p>
        </w:tc>
        <w:tc>
          <w:tcPr>
            <w:tcW w:w="1477"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w:t>
            </w:r>
          </w:p>
        </w:tc>
      </w:tr>
      <w:tr w:rsidR="00BB1024" w:rsidRPr="00F61A0E">
        <w:tc>
          <w:tcPr>
            <w:tcW w:w="278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Style w:val="Strong"/>
                <w:rFonts w:ascii="Times New Roman" w:hAnsi="Times New Roman" w:cs="Times New Roman"/>
                <w:color w:val="000000"/>
                <w:sz w:val="24"/>
                <w:szCs w:val="24"/>
              </w:rPr>
              <w:lastRenderedPageBreak/>
              <w:t>R-squared</w:t>
            </w:r>
          </w:p>
        </w:tc>
        <w:tc>
          <w:tcPr>
            <w:tcW w:w="150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Style w:val="Strong"/>
                <w:rFonts w:ascii="Times New Roman" w:hAnsi="Times New Roman" w:cs="Times New Roman"/>
                <w:color w:val="000000"/>
                <w:sz w:val="24"/>
                <w:szCs w:val="24"/>
              </w:rPr>
              <w:t>0.821</w:t>
            </w:r>
          </w:p>
        </w:tc>
        <w:tc>
          <w:tcPr>
            <w:tcW w:w="1508" w:type="dxa"/>
            <w:tcBorders>
              <w:left w:val="single" w:sz="4" w:space="0" w:color="000000"/>
              <w:bottom w:val="single" w:sz="4" w:space="0" w:color="000000"/>
            </w:tcBorders>
            <w:vAlign w:val="center"/>
          </w:tcPr>
          <w:p w:rsidR="00BB1024" w:rsidRPr="00F61A0E" w:rsidRDefault="00BB1024">
            <w:pPr>
              <w:pStyle w:val="TableContents"/>
              <w:rPr>
                <w:rFonts w:ascii="Times New Roman" w:hAnsi="Times New Roman" w:cs="Times New Roman"/>
                <w:color w:val="000000"/>
                <w:sz w:val="24"/>
                <w:szCs w:val="24"/>
              </w:rPr>
            </w:pPr>
          </w:p>
        </w:tc>
        <w:tc>
          <w:tcPr>
            <w:tcW w:w="1169" w:type="dxa"/>
            <w:tcBorders>
              <w:left w:val="single" w:sz="4" w:space="0" w:color="000000"/>
              <w:bottom w:val="single" w:sz="4" w:space="0" w:color="000000"/>
            </w:tcBorders>
            <w:vAlign w:val="center"/>
          </w:tcPr>
          <w:p w:rsidR="00BB1024" w:rsidRPr="00F61A0E" w:rsidRDefault="00BB1024">
            <w:pPr>
              <w:pStyle w:val="TableContents"/>
              <w:rPr>
                <w:rFonts w:ascii="Times New Roman" w:hAnsi="Times New Roman" w:cs="Times New Roman"/>
                <w:color w:val="000000"/>
                <w:sz w:val="24"/>
                <w:szCs w:val="24"/>
              </w:rPr>
            </w:pPr>
          </w:p>
        </w:tc>
        <w:tc>
          <w:tcPr>
            <w:tcW w:w="916" w:type="dxa"/>
            <w:tcBorders>
              <w:left w:val="single" w:sz="4" w:space="0" w:color="000000"/>
              <w:bottom w:val="single" w:sz="4" w:space="0" w:color="000000"/>
            </w:tcBorders>
            <w:vAlign w:val="center"/>
          </w:tcPr>
          <w:p w:rsidR="00BB1024" w:rsidRPr="00F61A0E" w:rsidRDefault="00BB1024">
            <w:pPr>
              <w:pStyle w:val="TableContents"/>
              <w:rPr>
                <w:rFonts w:ascii="Times New Roman" w:hAnsi="Times New Roman" w:cs="Times New Roman"/>
                <w:color w:val="000000"/>
                <w:sz w:val="24"/>
                <w:szCs w:val="24"/>
              </w:rPr>
            </w:pPr>
          </w:p>
        </w:tc>
        <w:tc>
          <w:tcPr>
            <w:tcW w:w="1477" w:type="dxa"/>
            <w:tcBorders>
              <w:left w:val="single" w:sz="4" w:space="0" w:color="000000"/>
              <w:bottom w:val="single" w:sz="4" w:space="0" w:color="000000"/>
              <w:right w:val="single" w:sz="4" w:space="0" w:color="000000"/>
            </w:tcBorders>
            <w:vAlign w:val="center"/>
          </w:tcPr>
          <w:p w:rsidR="00BB1024" w:rsidRPr="00F61A0E" w:rsidRDefault="00BB1024">
            <w:pPr>
              <w:pStyle w:val="TableContents"/>
              <w:rPr>
                <w:rFonts w:ascii="Times New Roman" w:hAnsi="Times New Roman" w:cs="Times New Roman"/>
                <w:color w:val="000000"/>
                <w:sz w:val="24"/>
                <w:szCs w:val="24"/>
              </w:rPr>
            </w:pPr>
          </w:p>
        </w:tc>
      </w:tr>
      <w:tr w:rsidR="00BB1024" w:rsidRPr="00F61A0E">
        <w:tc>
          <w:tcPr>
            <w:tcW w:w="278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Style w:val="Strong"/>
                <w:rFonts w:ascii="Times New Roman" w:hAnsi="Times New Roman" w:cs="Times New Roman"/>
                <w:color w:val="000000"/>
                <w:sz w:val="24"/>
                <w:szCs w:val="24"/>
              </w:rPr>
              <w:t>F-statistic</w:t>
            </w:r>
          </w:p>
        </w:tc>
        <w:tc>
          <w:tcPr>
            <w:tcW w:w="150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Style w:val="Strong"/>
                <w:rFonts w:ascii="Times New Roman" w:hAnsi="Times New Roman" w:cs="Times New Roman"/>
                <w:color w:val="000000"/>
                <w:sz w:val="24"/>
                <w:szCs w:val="24"/>
              </w:rPr>
              <w:t>39.56</w:t>
            </w:r>
          </w:p>
        </w:tc>
        <w:tc>
          <w:tcPr>
            <w:tcW w:w="1508" w:type="dxa"/>
            <w:tcBorders>
              <w:left w:val="single" w:sz="4" w:space="0" w:color="000000"/>
              <w:bottom w:val="single" w:sz="4" w:space="0" w:color="000000"/>
            </w:tcBorders>
            <w:vAlign w:val="center"/>
          </w:tcPr>
          <w:p w:rsidR="00BB1024" w:rsidRPr="00F61A0E" w:rsidRDefault="00BB1024">
            <w:pPr>
              <w:pStyle w:val="TableContents"/>
              <w:rPr>
                <w:rFonts w:ascii="Times New Roman" w:hAnsi="Times New Roman" w:cs="Times New Roman"/>
                <w:color w:val="000000"/>
                <w:sz w:val="24"/>
                <w:szCs w:val="24"/>
              </w:rPr>
            </w:pPr>
          </w:p>
        </w:tc>
        <w:tc>
          <w:tcPr>
            <w:tcW w:w="1169" w:type="dxa"/>
            <w:tcBorders>
              <w:left w:val="single" w:sz="4" w:space="0" w:color="000000"/>
              <w:bottom w:val="single" w:sz="4" w:space="0" w:color="000000"/>
            </w:tcBorders>
            <w:vAlign w:val="center"/>
          </w:tcPr>
          <w:p w:rsidR="00BB1024" w:rsidRPr="00F61A0E" w:rsidRDefault="00BB1024">
            <w:pPr>
              <w:pStyle w:val="TableContents"/>
              <w:rPr>
                <w:rFonts w:ascii="Times New Roman" w:hAnsi="Times New Roman" w:cs="Times New Roman"/>
                <w:color w:val="000000"/>
                <w:sz w:val="24"/>
                <w:szCs w:val="24"/>
              </w:rPr>
            </w:pPr>
          </w:p>
        </w:tc>
        <w:tc>
          <w:tcPr>
            <w:tcW w:w="91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0.000</w:t>
            </w:r>
          </w:p>
        </w:tc>
        <w:tc>
          <w:tcPr>
            <w:tcW w:w="1477" w:type="dxa"/>
            <w:tcBorders>
              <w:left w:val="single" w:sz="4" w:space="0" w:color="000000"/>
              <w:bottom w:val="single" w:sz="4" w:space="0" w:color="000000"/>
              <w:right w:val="single" w:sz="4" w:space="0" w:color="000000"/>
            </w:tcBorders>
            <w:vAlign w:val="center"/>
          </w:tcPr>
          <w:p w:rsidR="00BB1024" w:rsidRPr="00F61A0E" w:rsidRDefault="00BB1024">
            <w:pPr>
              <w:pStyle w:val="TableContents"/>
              <w:rPr>
                <w:rFonts w:ascii="Times New Roman" w:hAnsi="Times New Roman" w:cs="Times New Roman"/>
                <w:color w:val="000000"/>
                <w:sz w:val="24"/>
                <w:szCs w:val="24"/>
              </w:rPr>
            </w:pPr>
          </w:p>
        </w:tc>
      </w:tr>
    </w:tbl>
    <w:p w:rsidR="00BB1024" w:rsidRPr="00F61A0E" w:rsidRDefault="00243D89">
      <w:pPr>
        <w:pStyle w:val="BodyText"/>
        <w:rPr>
          <w:rFonts w:ascii="Times New Roman" w:hAnsi="Times New Roman" w:cs="Times New Roman"/>
          <w:sz w:val="24"/>
          <w:szCs w:val="24"/>
        </w:rPr>
      </w:pPr>
      <w:r w:rsidRPr="00F61A0E">
        <w:rPr>
          <w:rStyle w:val="Strong"/>
          <w:rFonts w:ascii="Times New Roman" w:hAnsi="Times New Roman" w:cs="Times New Roman"/>
          <w:color w:val="000000"/>
          <w:sz w:val="24"/>
          <w:szCs w:val="24"/>
        </w:rPr>
        <w:t>Notes:</w:t>
      </w:r>
    </w:p>
    <w:p w:rsidR="00BB1024" w:rsidRPr="00F61A0E" w:rsidRDefault="00243D89">
      <w:pPr>
        <w:pStyle w:val="BodyText"/>
        <w:numPr>
          <w:ilvl w:val="0"/>
          <w:numId w:val="2"/>
        </w:numPr>
        <w:tabs>
          <w:tab w:val="clear" w:pos="709"/>
          <w:tab w:val="left" w:pos="0"/>
        </w:tabs>
        <w:rPr>
          <w:rFonts w:ascii="Times New Roman" w:hAnsi="Times New Roman" w:cs="Times New Roman"/>
          <w:sz w:val="24"/>
          <w:szCs w:val="24"/>
        </w:rPr>
      </w:pPr>
      <w:r w:rsidRPr="00F61A0E">
        <w:rPr>
          <w:rFonts w:ascii="Times New Roman" w:hAnsi="Times New Roman" w:cs="Times New Roman"/>
          <w:color w:val="000000"/>
          <w:sz w:val="24"/>
          <w:szCs w:val="24"/>
        </w:rPr>
        <w:t>Significance levels: *</w:t>
      </w:r>
      <w:r w:rsidRPr="00F61A0E">
        <w:rPr>
          <w:rStyle w:val="Strong"/>
          <w:rFonts w:ascii="Times New Roman" w:hAnsi="Times New Roman" w:cs="Times New Roman"/>
          <w:color w:val="000000"/>
          <w:sz w:val="24"/>
          <w:szCs w:val="24"/>
        </w:rPr>
        <w:t>p &lt; 0.01</w:t>
      </w:r>
      <w:r w:rsidRPr="00F61A0E">
        <w:rPr>
          <w:rFonts w:ascii="Times New Roman" w:hAnsi="Times New Roman" w:cs="Times New Roman"/>
          <w:color w:val="000000"/>
          <w:sz w:val="24"/>
          <w:szCs w:val="24"/>
        </w:rPr>
        <w:t xml:space="preserve">, </w:t>
      </w:r>
      <w:r w:rsidRPr="00F61A0E">
        <w:rPr>
          <w:rStyle w:val="Strong"/>
          <w:rFonts w:ascii="Times New Roman" w:hAnsi="Times New Roman" w:cs="Times New Roman"/>
          <w:color w:val="000000"/>
          <w:sz w:val="24"/>
          <w:szCs w:val="24"/>
        </w:rPr>
        <w:t>p &lt; 0.05</w:t>
      </w:r>
      <w:r w:rsidRPr="00F61A0E">
        <w:rPr>
          <w:rFonts w:ascii="Times New Roman" w:hAnsi="Times New Roman" w:cs="Times New Roman"/>
          <w:color w:val="000000"/>
          <w:sz w:val="24"/>
          <w:szCs w:val="24"/>
        </w:rPr>
        <w:t xml:space="preserve">, </w:t>
      </w:r>
      <w:r w:rsidRPr="00F61A0E">
        <w:rPr>
          <w:rStyle w:val="Emphasis"/>
          <w:rFonts w:ascii="Times New Roman" w:hAnsi="Times New Roman" w:cs="Times New Roman"/>
          <w:color w:val="000000"/>
          <w:sz w:val="24"/>
          <w:szCs w:val="24"/>
        </w:rPr>
        <w:t>p &lt; 0.1</w:t>
      </w:r>
    </w:p>
    <w:p w:rsidR="00BB1024" w:rsidRPr="00F61A0E" w:rsidRDefault="00243D89">
      <w:pPr>
        <w:pStyle w:val="Heading3"/>
        <w:spacing w:after="283"/>
        <w:rPr>
          <w:rFonts w:ascii="Times New Roman" w:hAnsi="Times New Roman" w:cs="Times New Roman"/>
        </w:rPr>
      </w:pPr>
      <w:r w:rsidRPr="00F61A0E">
        <w:rPr>
          <w:rStyle w:val="Strong"/>
          <w:rFonts w:ascii="Times New Roman" w:hAnsi="Times New Roman" w:cs="Times New Roman"/>
          <w:color w:val="000000"/>
        </w:rPr>
        <w:t>3. Diagnostic Test Results Table</w:t>
      </w:r>
    </w:p>
    <w:tbl>
      <w:tblPr>
        <w:tblW w:w="8291" w:type="dxa"/>
        <w:tblInd w:w="-5" w:type="dxa"/>
        <w:tblLayout w:type="fixed"/>
        <w:tblCellMar>
          <w:top w:w="55" w:type="dxa"/>
          <w:left w:w="55" w:type="dxa"/>
          <w:bottom w:w="55" w:type="dxa"/>
          <w:right w:w="55" w:type="dxa"/>
        </w:tblCellMar>
        <w:tblLook w:val="04A0" w:firstRow="1" w:lastRow="0" w:firstColumn="1" w:lastColumn="0" w:noHBand="0" w:noVBand="1"/>
      </w:tblPr>
      <w:tblGrid>
        <w:gridCol w:w="3156"/>
        <w:gridCol w:w="1786"/>
        <w:gridCol w:w="3349"/>
      </w:tblGrid>
      <w:tr w:rsidR="00BB1024" w:rsidRPr="00F61A0E">
        <w:trPr>
          <w:tblHeader/>
        </w:trPr>
        <w:tc>
          <w:tcPr>
            <w:tcW w:w="3156"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Test</w:t>
            </w:r>
          </w:p>
        </w:tc>
        <w:tc>
          <w:tcPr>
            <w:tcW w:w="1786"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Statistic/Result</w:t>
            </w:r>
          </w:p>
        </w:tc>
        <w:tc>
          <w:tcPr>
            <w:tcW w:w="3349"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color w:val="000000"/>
                <w:sz w:val="24"/>
                <w:szCs w:val="24"/>
              </w:rPr>
              <w:t>Conclusion</w:t>
            </w:r>
          </w:p>
        </w:tc>
      </w:tr>
      <w:tr w:rsidR="00BB1024" w:rsidRPr="00F61A0E">
        <w:tc>
          <w:tcPr>
            <w:tcW w:w="315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Variance Inflation Factor (VIF)</w:t>
            </w:r>
          </w:p>
        </w:tc>
        <w:tc>
          <w:tcPr>
            <w:tcW w:w="178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All values &lt; 5</w:t>
            </w:r>
          </w:p>
        </w:tc>
        <w:tc>
          <w:tcPr>
            <w:tcW w:w="3349"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No multicollinearity detected</w:t>
            </w:r>
          </w:p>
        </w:tc>
      </w:tr>
      <w:tr w:rsidR="00BB1024" w:rsidRPr="00F61A0E">
        <w:tc>
          <w:tcPr>
            <w:tcW w:w="315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Breusch-Pagan Test</w:t>
            </w:r>
          </w:p>
        </w:tc>
        <w:tc>
          <w:tcPr>
            <w:tcW w:w="178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p-value = 0.21</w:t>
            </w:r>
          </w:p>
        </w:tc>
        <w:tc>
          <w:tcPr>
            <w:tcW w:w="3349"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No heteroscedasticity detected</w:t>
            </w:r>
          </w:p>
        </w:tc>
      </w:tr>
      <w:tr w:rsidR="00BB1024" w:rsidRPr="00F61A0E">
        <w:tc>
          <w:tcPr>
            <w:tcW w:w="315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Durbin-Watson Statistic</w:t>
            </w:r>
          </w:p>
        </w:tc>
        <w:tc>
          <w:tcPr>
            <w:tcW w:w="1786"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2.03</w:t>
            </w:r>
          </w:p>
        </w:tc>
        <w:tc>
          <w:tcPr>
            <w:tcW w:w="3349"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color w:val="000000"/>
                <w:sz w:val="24"/>
                <w:szCs w:val="24"/>
              </w:rPr>
            </w:pPr>
            <w:r w:rsidRPr="00F61A0E">
              <w:rPr>
                <w:rFonts w:ascii="Times New Roman" w:hAnsi="Times New Roman" w:cs="Times New Roman"/>
                <w:color w:val="000000"/>
                <w:sz w:val="24"/>
                <w:szCs w:val="24"/>
              </w:rPr>
              <w:t>No autocorrelation detected</w:t>
            </w:r>
          </w:p>
        </w:tc>
      </w:tr>
    </w:tbl>
    <w:p w:rsidR="00BB1024" w:rsidRPr="00F61A0E" w:rsidRDefault="0070078D" w:rsidP="0070078D">
      <w:pPr>
        <w:spacing w:beforeAutospacing="1" w:afterAutospacing="1" w:line="480" w:lineRule="auto"/>
        <w:ind w:firstLine="360"/>
        <w:jc w:val="center"/>
        <w:rPr>
          <w:rFonts w:ascii="Times New Roman" w:hAnsi="Times New Roman" w:cs="Times New Roman"/>
          <w:b/>
          <w:color w:val="000000"/>
          <w:sz w:val="24"/>
          <w:szCs w:val="24"/>
        </w:rPr>
      </w:pPr>
      <w:r w:rsidRPr="00F61A0E">
        <w:rPr>
          <w:rFonts w:ascii="Times New Roman" w:hAnsi="Times New Roman" w:cs="Times New Roman"/>
          <w:b/>
          <w:color w:val="000000"/>
          <w:sz w:val="24"/>
          <w:szCs w:val="24"/>
        </w:rPr>
        <w:t>Limitations</w:t>
      </w:r>
    </w:p>
    <w:p w:rsidR="0070078D" w:rsidRPr="00F61A0E" w:rsidRDefault="0070078D" w:rsidP="0070078D">
      <w:pPr>
        <w:spacing w:beforeAutospacing="1" w:afterAutospacing="1" w:line="480" w:lineRule="auto"/>
        <w:ind w:firstLine="360"/>
        <w:rPr>
          <w:rFonts w:ascii="Times New Roman" w:hAnsi="Times New Roman" w:cs="Times New Roman"/>
          <w:color w:val="000000"/>
          <w:sz w:val="24"/>
          <w:szCs w:val="24"/>
        </w:rPr>
      </w:pPr>
      <w:r w:rsidRPr="00F61A0E">
        <w:rPr>
          <w:rFonts w:ascii="Times New Roman" w:hAnsi="Times New Roman" w:cs="Times New Roman"/>
          <w:color w:val="000000"/>
          <w:sz w:val="24"/>
          <w:szCs w:val="24"/>
        </w:rPr>
        <w:t xml:space="preserve">Several limitations that relate to the data disparity are also presented in the study. In some of the member countries data for one year or another may be missing, which may call into question the reliability of some of the results. In this case, interpolation methods or even forward/backward filling techniques may be adopted but these are likely to result into </w:t>
      </w:r>
      <w:r w:rsidR="002D6185" w:rsidRPr="00F61A0E">
        <w:rPr>
          <w:rFonts w:ascii="Times New Roman" w:hAnsi="Times New Roman" w:cs="Times New Roman"/>
          <w:color w:val="000000"/>
          <w:sz w:val="24"/>
          <w:szCs w:val="24"/>
        </w:rPr>
        <w:t>biased</w:t>
      </w:r>
      <w:r w:rsidRPr="00F61A0E">
        <w:rPr>
          <w:rFonts w:ascii="Times New Roman" w:hAnsi="Times New Roman" w:cs="Times New Roman"/>
          <w:color w:val="000000"/>
          <w:sz w:val="24"/>
          <w:szCs w:val="24"/>
        </w:rPr>
        <w:t xml:space="preserve"> means if the missing values are </w:t>
      </w:r>
      <w:r w:rsidR="002D6185" w:rsidRPr="00F61A0E">
        <w:rPr>
          <w:rFonts w:ascii="Times New Roman" w:hAnsi="Times New Roman" w:cs="Times New Roman"/>
          <w:color w:val="000000"/>
          <w:sz w:val="24"/>
          <w:szCs w:val="24"/>
        </w:rPr>
        <w:t>biased</w:t>
      </w:r>
      <w:r w:rsidRPr="00F61A0E">
        <w:rPr>
          <w:rFonts w:ascii="Times New Roman" w:hAnsi="Times New Roman" w:cs="Times New Roman"/>
          <w:color w:val="000000"/>
          <w:sz w:val="24"/>
          <w:szCs w:val="24"/>
        </w:rPr>
        <w:t>. This leads to another potential problem; the method makes use of data obtained at an aggregated level, which could potentially obscure differences present on a country level. In the same regard, there are several viabilities that are left out that would influence the results, including inflation and political stability. Inflation acts as an area of concern for FDI and GDP growth rates as the impact it exert on the value of investment and economies’ output</w:t>
      </w:r>
      <w:r w:rsidR="00D142D3">
        <w:rPr>
          <w:rFonts w:ascii="Times New Roman" w:hAnsi="Times New Roman" w:cs="Times New Roman"/>
          <w:color w:val="000000"/>
          <w:sz w:val="24"/>
          <w:szCs w:val="24"/>
        </w:rPr>
        <w:t xml:space="preserve"> (</w:t>
      </w:r>
      <w:r w:rsidR="00D142D3">
        <w:rPr>
          <w:rFonts w:ascii="Arial" w:hAnsi="Arial" w:cs="Arial"/>
          <w:color w:val="222222"/>
          <w:sz w:val="20"/>
          <w:szCs w:val="20"/>
          <w:shd w:val="clear" w:color="auto" w:fill="FFFFFF"/>
        </w:rPr>
        <w:t>AL-MUTAIRI</w:t>
      </w:r>
      <w:r w:rsidR="00D142D3">
        <w:rPr>
          <w:rFonts w:ascii="Arial" w:hAnsi="Arial" w:cs="Arial"/>
          <w:color w:val="222222"/>
          <w:sz w:val="20"/>
          <w:szCs w:val="20"/>
          <w:shd w:val="clear" w:color="auto" w:fill="FFFFFF"/>
        </w:rPr>
        <w:t xml:space="preserve"> et al., 2024)</w:t>
      </w:r>
      <w:r w:rsidRPr="00F61A0E">
        <w:rPr>
          <w:rFonts w:ascii="Times New Roman" w:hAnsi="Times New Roman" w:cs="Times New Roman"/>
          <w:color w:val="000000"/>
          <w:sz w:val="24"/>
          <w:szCs w:val="24"/>
        </w:rPr>
        <w:t xml:space="preserve">. This important index is a key component of the evaluation of economic performance and FDI attractiveness and it is not incorporated into the </w:t>
      </w:r>
      <w:r w:rsidRPr="00F61A0E">
        <w:rPr>
          <w:rFonts w:ascii="Times New Roman" w:hAnsi="Times New Roman" w:cs="Times New Roman"/>
          <w:color w:val="000000"/>
          <w:sz w:val="24"/>
          <w:szCs w:val="24"/>
        </w:rPr>
        <w:lastRenderedPageBreak/>
        <w:t>model. These may cause omitted variable bias, wrong conclusions regarding the nature of the relationship between the variables under consideration.</w:t>
      </w:r>
    </w:p>
    <w:p w:rsidR="0085034E" w:rsidRPr="00F61A0E" w:rsidRDefault="0085034E" w:rsidP="0085034E">
      <w:pPr>
        <w:spacing w:beforeAutospacing="1" w:afterAutospacing="1" w:line="480" w:lineRule="auto"/>
        <w:ind w:firstLine="360"/>
        <w:jc w:val="center"/>
        <w:rPr>
          <w:rFonts w:ascii="Times New Roman" w:hAnsi="Times New Roman" w:cs="Times New Roman"/>
          <w:b/>
          <w:color w:val="000000"/>
          <w:sz w:val="24"/>
          <w:szCs w:val="24"/>
        </w:rPr>
      </w:pPr>
      <w:r w:rsidRPr="00F61A0E">
        <w:rPr>
          <w:rFonts w:ascii="Times New Roman" w:hAnsi="Times New Roman" w:cs="Times New Roman"/>
          <w:b/>
          <w:color w:val="000000"/>
          <w:sz w:val="24"/>
          <w:szCs w:val="24"/>
        </w:rPr>
        <w:t xml:space="preserve">Policy Implications </w:t>
      </w:r>
    </w:p>
    <w:p w:rsidR="0085034E" w:rsidRPr="00F61A0E" w:rsidRDefault="0085034E" w:rsidP="0085034E">
      <w:pPr>
        <w:spacing w:beforeAutospacing="1" w:afterAutospacing="1" w:line="480" w:lineRule="auto"/>
        <w:ind w:firstLine="360"/>
        <w:rPr>
          <w:rFonts w:ascii="Times New Roman" w:hAnsi="Times New Roman" w:cs="Times New Roman"/>
          <w:color w:val="000000"/>
          <w:sz w:val="24"/>
          <w:szCs w:val="24"/>
        </w:rPr>
      </w:pPr>
      <w:r w:rsidRPr="00F61A0E">
        <w:rPr>
          <w:rFonts w:ascii="Times New Roman" w:hAnsi="Times New Roman" w:cs="Times New Roman"/>
          <w:color w:val="000000"/>
          <w:sz w:val="24"/>
          <w:szCs w:val="24"/>
        </w:rPr>
        <w:t>The policy conclusions thus focus on facilitating FDI, improving government expenditure and fine-tuning trade policies in order to sustain the economic growth ongoing today. Governments have to start with developing stable and predictable legal framework and enhancing overall business environment’s attractiveness as a destination for FDI and prioritize it for industries with highest productivity potential in areas of technology and renewable energy. It can also improve capital inflows, technology transfer and development of the economy in overall. The spending by government should be directed towards productive expenditure in productive sectors such as transportation, education and health, there should be right mix in policy maker’s tool kit that would ensure that fiscal stimulus would cause economic growth, without choking imperatively required investments or leading to fiscal crises</w:t>
      </w:r>
      <w:r w:rsidR="00D142D3">
        <w:rPr>
          <w:rFonts w:ascii="Times New Roman" w:hAnsi="Times New Roman" w:cs="Times New Roman"/>
          <w:color w:val="000000"/>
          <w:sz w:val="24"/>
          <w:szCs w:val="24"/>
        </w:rPr>
        <w:t xml:space="preserve"> (</w:t>
      </w:r>
      <w:r w:rsidR="00D142D3">
        <w:rPr>
          <w:rFonts w:ascii="Arial" w:hAnsi="Arial" w:cs="Arial"/>
          <w:color w:val="222222"/>
          <w:sz w:val="20"/>
          <w:szCs w:val="20"/>
          <w:shd w:val="clear" w:color="auto" w:fill="FFFFFF"/>
        </w:rPr>
        <w:t>Zhang</w:t>
      </w:r>
      <w:r w:rsidR="00D142D3">
        <w:rPr>
          <w:rFonts w:ascii="Arial" w:hAnsi="Arial" w:cs="Arial"/>
          <w:color w:val="222222"/>
          <w:sz w:val="20"/>
          <w:szCs w:val="20"/>
          <w:shd w:val="clear" w:color="auto" w:fill="FFFFFF"/>
        </w:rPr>
        <w:t xml:space="preserve"> et al., 2019)</w:t>
      </w:r>
      <w:r w:rsidRPr="00F61A0E">
        <w:rPr>
          <w:rFonts w:ascii="Times New Roman" w:hAnsi="Times New Roman" w:cs="Times New Roman"/>
          <w:color w:val="000000"/>
          <w:sz w:val="24"/>
          <w:szCs w:val="24"/>
        </w:rPr>
        <w:t>. Lastly, the policies on trade have to be reconsidered with trade surpluses as they are not the indicators of the growth. Self- reliance, reducing reliance on volatile foods, tea and coffee, export diversification, and enhancement of industrial production can help build a sustainable economy. On doing so, countries will be attaining ability to develop the right growth model which can also be termed as model of sustainable growth and reducing the vulnerabilities in the globalized and integrated world economy.</w:t>
      </w:r>
    </w:p>
    <w:p w:rsidR="00BB1024" w:rsidRPr="00F61A0E" w:rsidRDefault="00243D89">
      <w:pPr>
        <w:pStyle w:val="Heading1"/>
        <w:jc w:val="center"/>
        <w:rPr>
          <w:rFonts w:ascii="Times New Roman" w:hAnsi="Times New Roman" w:cs="Times New Roman"/>
          <w:b/>
          <w:color w:val="000000" w:themeColor="text1"/>
          <w:sz w:val="24"/>
          <w:szCs w:val="24"/>
        </w:rPr>
      </w:pPr>
      <w:r w:rsidRPr="00F61A0E">
        <w:rPr>
          <w:rFonts w:ascii="Times New Roman" w:hAnsi="Times New Roman" w:cs="Times New Roman"/>
          <w:b/>
          <w:color w:val="000000" w:themeColor="text1"/>
          <w:sz w:val="24"/>
          <w:szCs w:val="24"/>
        </w:rPr>
        <w:t>Conclusion</w:t>
      </w:r>
    </w:p>
    <w:p w:rsidR="00CD6E70" w:rsidRPr="00F61A0E" w:rsidRDefault="00CD6E70" w:rsidP="00CD6E70">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In this paper, three main antecedents of GDP growth—FDI; government spending; and trade balance have been scrutinized to gauge their effect on GDP growth in the emerging </w:t>
      </w:r>
      <w:r w:rsidRPr="00F61A0E">
        <w:rPr>
          <w:rFonts w:ascii="Times New Roman" w:hAnsi="Times New Roman" w:cs="Times New Roman"/>
          <w:sz w:val="24"/>
          <w:szCs w:val="24"/>
        </w:rPr>
        <w:lastRenderedPageBreak/>
        <w:t>marketing using data from the year 2010 to the year 2020. Figures 3 and 4 of the regression analysis indicate that FDI is the leading growth determinant of GDP with a positive coefficient of 0.457 and a t-value of 4.34, which is statistically significant at the 5% level of significance. This means that the foreign investments are essential in the development of the major economic activities in the developing economy since they prop up capital, technology besides improving productivity. Government spending also has a positive influence to GDP growth coefficient of 0,245 show that government spending on the provision of infrastructure, education, and health are some of the key aspects through which positive demands on Economic activities are made. But there is more to say about the effects of trade balance on GDP growth. It may seem counterintuitive that the coefficient of trade surplus is negative (-0.378) and it implies that the increase of trade surplus leads to decrease of GDP growth. Some part of this result can be attributed to structural problems in some emergent market economies involved in exporting primary commodities or experiencing a weak domestic demand. They indicated also that trade surpluses are not necessarily accompanied by diversified economic improvements; this underlines, thus, the need for a more balanced and composite approach to trade policies.</w:t>
      </w:r>
    </w:p>
    <w:p w:rsidR="00CD6E70" w:rsidRPr="00F61A0E" w:rsidRDefault="00CD6E70" w:rsidP="00596ABF">
      <w:pPr>
        <w:spacing w:line="480" w:lineRule="auto"/>
        <w:ind w:firstLine="720"/>
        <w:rPr>
          <w:rFonts w:ascii="Times New Roman" w:hAnsi="Times New Roman" w:cs="Times New Roman"/>
          <w:sz w:val="24"/>
          <w:szCs w:val="24"/>
        </w:rPr>
      </w:pPr>
      <w:r w:rsidRPr="00F61A0E">
        <w:rPr>
          <w:rFonts w:ascii="Times New Roman" w:hAnsi="Times New Roman" w:cs="Times New Roman"/>
          <w:sz w:val="24"/>
          <w:szCs w:val="24"/>
        </w:rPr>
        <w:t xml:space="preserve">However, the 17.9% of GDP growth variation not anticipated by the model means that there are other factors, including political steadiness, advance in technology, and changes in global economic environment, which equally affect the economic performance. Thus, the results of the current research offer valuable policy implications for industries and firms operating in emerging markets. For FDI to yield optimum result, governments should provide the appropriate atmosphere of stability in political structure and infrastructural facilities among other things so as to encourage the flow of capital and technology. </w:t>
      </w:r>
    </w:p>
    <w:p w:rsidR="00BB1024" w:rsidRPr="00F61A0E" w:rsidRDefault="00243D89">
      <w:pPr>
        <w:jc w:val="center"/>
        <w:rPr>
          <w:rFonts w:ascii="Times New Roman" w:hAnsi="Times New Roman" w:cs="Times New Roman"/>
          <w:b/>
          <w:bCs/>
          <w:sz w:val="24"/>
          <w:szCs w:val="24"/>
        </w:rPr>
      </w:pPr>
      <w:r w:rsidRPr="00F61A0E">
        <w:rPr>
          <w:rFonts w:ascii="Times New Roman" w:hAnsi="Times New Roman" w:cs="Times New Roman"/>
          <w:b/>
          <w:bCs/>
          <w:sz w:val="24"/>
          <w:szCs w:val="24"/>
        </w:rPr>
        <w:t>Appendices</w:t>
      </w:r>
    </w:p>
    <w:p w:rsidR="00BB1024" w:rsidRPr="00F61A0E" w:rsidRDefault="00243D89">
      <w:pPr>
        <w:pStyle w:val="Heading4"/>
        <w:rPr>
          <w:rFonts w:ascii="Times New Roman" w:hAnsi="Times New Roman" w:cs="Times New Roman"/>
          <w:sz w:val="24"/>
          <w:szCs w:val="24"/>
        </w:rPr>
      </w:pPr>
      <w:r w:rsidRPr="00F61A0E">
        <w:rPr>
          <w:rStyle w:val="Strong"/>
          <w:rFonts w:ascii="Times New Roman" w:hAnsi="Times New Roman" w:cs="Times New Roman"/>
          <w:color w:val="000000"/>
          <w:sz w:val="24"/>
          <w:szCs w:val="24"/>
        </w:rPr>
        <w:lastRenderedPageBreak/>
        <w:t>A. Raw Data Overview</w:t>
      </w:r>
    </w:p>
    <w:p w:rsidR="00BB1024" w:rsidRPr="00F61A0E" w:rsidRDefault="00243D89">
      <w:pPr>
        <w:pStyle w:val="BodyText"/>
        <w:rPr>
          <w:rFonts w:ascii="Times New Roman" w:hAnsi="Times New Roman" w:cs="Times New Roman"/>
          <w:sz w:val="24"/>
          <w:szCs w:val="24"/>
        </w:rPr>
      </w:pPr>
      <w:r w:rsidRPr="00F61A0E">
        <w:rPr>
          <w:rFonts w:ascii="Times New Roman" w:hAnsi="Times New Roman" w:cs="Times New Roman"/>
          <w:sz w:val="24"/>
          <w:szCs w:val="24"/>
        </w:rPr>
        <w:t>The raw data used in this study includes GDP growth, FDI inflows, government spending, and trade balance for the period 2010–2020 across selected emerging markets.</w:t>
      </w:r>
    </w:p>
    <w:tbl>
      <w:tblPr>
        <w:tblW w:w="9360" w:type="dxa"/>
        <w:tblInd w:w="-5" w:type="dxa"/>
        <w:tblLayout w:type="fixed"/>
        <w:tblCellMar>
          <w:top w:w="55" w:type="dxa"/>
          <w:left w:w="55" w:type="dxa"/>
          <w:bottom w:w="55" w:type="dxa"/>
          <w:right w:w="55" w:type="dxa"/>
        </w:tblCellMar>
        <w:tblLook w:val="04A0" w:firstRow="1" w:lastRow="0" w:firstColumn="1" w:lastColumn="0" w:noHBand="0" w:noVBand="1"/>
      </w:tblPr>
      <w:tblGrid>
        <w:gridCol w:w="625"/>
        <w:gridCol w:w="991"/>
        <w:gridCol w:w="1482"/>
        <w:gridCol w:w="1264"/>
        <w:gridCol w:w="2851"/>
        <w:gridCol w:w="2147"/>
      </w:tblGrid>
      <w:tr w:rsidR="00BB1024" w:rsidRPr="00F61A0E">
        <w:trPr>
          <w:tblHeader/>
        </w:trPr>
        <w:tc>
          <w:tcPr>
            <w:tcW w:w="624"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Year</w:t>
            </w:r>
          </w:p>
        </w:tc>
        <w:tc>
          <w:tcPr>
            <w:tcW w:w="991"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Country</w:t>
            </w:r>
          </w:p>
        </w:tc>
        <w:tc>
          <w:tcPr>
            <w:tcW w:w="1482"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GDP Growth (%)</w:t>
            </w:r>
          </w:p>
        </w:tc>
        <w:tc>
          <w:tcPr>
            <w:tcW w:w="1264"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FDI (% of GDP)</w:t>
            </w:r>
          </w:p>
        </w:tc>
        <w:tc>
          <w:tcPr>
            <w:tcW w:w="2851"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Government Spending (% of GDP)</w:t>
            </w:r>
          </w:p>
        </w:tc>
        <w:tc>
          <w:tcPr>
            <w:tcW w:w="2147"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Trade Balance (% of GDP)</w:t>
            </w:r>
          </w:p>
        </w:tc>
      </w:tr>
      <w:tr w:rsidR="00BB1024" w:rsidRPr="00F61A0E">
        <w:tc>
          <w:tcPr>
            <w:tcW w:w="624"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2010</w:t>
            </w:r>
          </w:p>
        </w:tc>
        <w:tc>
          <w:tcPr>
            <w:tcW w:w="99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India</w:t>
            </w:r>
          </w:p>
        </w:tc>
        <w:tc>
          <w:tcPr>
            <w:tcW w:w="1482"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8.5</w:t>
            </w:r>
          </w:p>
        </w:tc>
        <w:tc>
          <w:tcPr>
            <w:tcW w:w="1264"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4.0</w:t>
            </w:r>
          </w:p>
        </w:tc>
        <w:tc>
          <w:tcPr>
            <w:tcW w:w="285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18.5</w:t>
            </w:r>
          </w:p>
        </w:tc>
        <w:tc>
          <w:tcPr>
            <w:tcW w:w="2147"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-2.3</w:t>
            </w:r>
          </w:p>
        </w:tc>
      </w:tr>
      <w:tr w:rsidR="00BB1024" w:rsidRPr="00F61A0E">
        <w:tc>
          <w:tcPr>
            <w:tcW w:w="624"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2011</w:t>
            </w:r>
          </w:p>
        </w:tc>
        <w:tc>
          <w:tcPr>
            <w:tcW w:w="99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India</w:t>
            </w:r>
          </w:p>
        </w:tc>
        <w:tc>
          <w:tcPr>
            <w:tcW w:w="1482"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6.9</w:t>
            </w:r>
          </w:p>
        </w:tc>
        <w:tc>
          <w:tcPr>
            <w:tcW w:w="1264"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3.8</w:t>
            </w:r>
          </w:p>
        </w:tc>
        <w:tc>
          <w:tcPr>
            <w:tcW w:w="285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19.0</w:t>
            </w:r>
          </w:p>
        </w:tc>
        <w:tc>
          <w:tcPr>
            <w:tcW w:w="2147"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-1.8</w:t>
            </w:r>
          </w:p>
        </w:tc>
      </w:tr>
      <w:tr w:rsidR="00BB1024" w:rsidRPr="00F61A0E">
        <w:tc>
          <w:tcPr>
            <w:tcW w:w="624"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2012</w:t>
            </w:r>
          </w:p>
        </w:tc>
        <w:tc>
          <w:tcPr>
            <w:tcW w:w="99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India</w:t>
            </w:r>
          </w:p>
        </w:tc>
        <w:tc>
          <w:tcPr>
            <w:tcW w:w="1482"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5.1</w:t>
            </w:r>
          </w:p>
        </w:tc>
        <w:tc>
          <w:tcPr>
            <w:tcW w:w="1264"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3.2</w:t>
            </w:r>
          </w:p>
        </w:tc>
        <w:tc>
          <w:tcPr>
            <w:tcW w:w="285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19.8</w:t>
            </w:r>
          </w:p>
        </w:tc>
        <w:tc>
          <w:tcPr>
            <w:tcW w:w="2147"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-3.1</w:t>
            </w:r>
          </w:p>
        </w:tc>
      </w:tr>
      <w:tr w:rsidR="00BB1024" w:rsidRPr="00F61A0E">
        <w:tc>
          <w:tcPr>
            <w:tcW w:w="624"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2010</w:t>
            </w:r>
          </w:p>
        </w:tc>
        <w:tc>
          <w:tcPr>
            <w:tcW w:w="99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Brazil</w:t>
            </w:r>
          </w:p>
        </w:tc>
        <w:tc>
          <w:tcPr>
            <w:tcW w:w="1482"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7.5</w:t>
            </w:r>
          </w:p>
        </w:tc>
        <w:tc>
          <w:tcPr>
            <w:tcW w:w="1264"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2.5</w:t>
            </w:r>
          </w:p>
        </w:tc>
        <w:tc>
          <w:tcPr>
            <w:tcW w:w="285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21.3</w:t>
            </w:r>
          </w:p>
        </w:tc>
        <w:tc>
          <w:tcPr>
            <w:tcW w:w="2147"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0.2</w:t>
            </w:r>
          </w:p>
        </w:tc>
      </w:tr>
      <w:tr w:rsidR="00BB1024" w:rsidRPr="00F61A0E">
        <w:tc>
          <w:tcPr>
            <w:tcW w:w="624"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2011</w:t>
            </w:r>
          </w:p>
        </w:tc>
        <w:tc>
          <w:tcPr>
            <w:tcW w:w="99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Brazil</w:t>
            </w:r>
          </w:p>
        </w:tc>
        <w:tc>
          <w:tcPr>
            <w:tcW w:w="1482"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3.9</w:t>
            </w:r>
          </w:p>
        </w:tc>
        <w:tc>
          <w:tcPr>
            <w:tcW w:w="1264"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2.8</w:t>
            </w:r>
          </w:p>
        </w:tc>
        <w:tc>
          <w:tcPr>
            <w:tcW w:w="285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22.5</w:t>
            </w:r>
          </w:p>
        </w:tc>
        <w:tc>
          <w:tcPr>
            <w:tcW w:w="2147"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-0.5</w:t>
            </w:r>
          </w:p>
        </w:tc>
      </w:tr>
    </w:tbl>
    <w:p w:rsidR="00BB1024" w:rsidRPr="00F61A0E" w:rsidRDefault="00243D89">
      <w:pPr>
        <w:pStyle w:val="Heading4"/>
        <w:rPr>
          <w:rFonts w:ascii="Times New Roman" w:hAnsi="Times New Roman" w:cs="Times New Roman"/>
          <w:sz w:val="24"/>
          <w:szCs w:val="24"/>
        </w:rPr>
      </w:pPr>
      <w:r w:rsidRPr="00F61A0E">
        <w:rPr>
          <w:rStyle w:val="Strong"/>
          <w:rFonts w:ascii="Times New Roman" w:hAnsi="Times New Roman" w:cs="Times New Roman"/>
          <w:color w:val="000000"/>
          <w:sz w:val="24"/>
          <w:szCs w:val="24"/>
        </w:rPr>
        <w:t>B. Descriptive Statistics</w:t>
      </w:r>
    </w:p>
    <w:tbl>
      <w:tblPr>
        <w:tblW w:w="8211" w:type="dxa"/>
        <w:tblInd w:w="-5" w:type="dxa"/>
        <w:tblLayout w:type="fixed"/>
        <w:tblCellMar>
          <w:top w:w="55" w:type="dxa"/>
          <w:left w:w="55" w:type="dxa"/>
          <w:bottom w:w="55" w:type="dxa"/>
          <w:right w:w="55" w:type="dxa"/>
        </w:tblCellMar>
        <w:tblLook w:val="04A0" w:firstRow="1" w:lastRow="0" w:firstColumn="1" w:lastColumn="0" w:noHBand="0" w:noVBand="1"/>
      </w:tblPr>
      <w:tblGrid>
        <w:gridCol w:w="2830"/>
        <w:gridCol w:w="721"/>
        <w:gridCol w:w="2228"/>
        <w:gridCol w:w="1169"/>
        <w:gridCol w:w="1263"/>
      </w:tblGrid>
      <w:tr w:rsidR="00BB1024" w:rsidRPr="00F61A0E">
        <w:trPr>
          <w:tblHeader/>
        </w:trPr>
        <w:tc>
          <w:tcPr>
            <w:tcW w:w="2830"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Variable</w:t>
            </w:r>
          </w:p>
        </w:tc>
        <w:tc>
          <w:tcPr>
            <w:tcW w:w="721"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Mean</w:t>
            </w:r>
          </w:p>
        </w:tc>
        <w:tc>
          <w:tcPr>
            <w:tcW w:w="2228"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Standard Deviation</w:t>
            </w:r>
          </w:p>
        </w:tc>
        <w:tc>
          <w:tcPr>
            <w:tcW w:w="1169"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Minimum</w:t>
            </w:r>
          </w:p>
        </w:tc>
        <w:tc>
          <w:tcPr>
            <w:tcW w:w="1263"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Maximum</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GDP Growth (%)</w:t>
            </w:r>
          </w:p>
        </w:tc>
        <w:tc>
          <w:tcPr>
            <w:tcW w:w="72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4.2</w:t>
            </w:r>
          </w:p>
        </w:tc>
        <w:tc>
          <w:tcPr>
            <w:tcW w:w="222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2.8</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-1.5</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9.3</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FDI (% of GDP)</w:t>
            </w:r>
          </w:p>
        </w:tc>
        <w:tc>
          <w:tcPr>
            <w:tcW w:w="72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3.5</w:t>
            </w:r>
          </w:p>
        </w:tc>
        <w:tc>
          <w:tcPr>
            <w:tcW w:w="222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2.1</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0.7</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8.4</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Government Spending (%)</w:t>
            </w:r>
          </w:p>
        </w:tc>
        <w:tc>
          <w:tcPr>
            <w:tcW w:w="72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20.0</w:t>
            </w:r>
          </w:p>
        </w:tc>
        <w:tc>
          <w:tcPr>
            <w:tcW w:w="222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6.0</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10.2</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32.4</w:t>
            </w:r>
          </w:p>
        </w:tc>
      </w:tr>
      <w:tr w:rsidR="00BB1024" w:rsidRPr="00F61A0E">
        <w:tc>
          <w:tcPr>
            <w:tcW w:w="2830"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Trade Balance (% of GDP)</w:t>
            </w:r>
          </w:p>
        </w:tc>
        <w:tc>
          <w:tcPr>
            <w:tcW w:w="721"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0.0</w:t>
            </w:r>
          </w:p>
        </w:tc>
        <w:tc>
          <w:tcPr>
            <w:tcW w:w="222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3.7</w:t>
            </w:r>
          </w:p>
        </w:tc>
        <w:tc>
          <w:tcPr>
            <w:tcW w:w="1169"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-6.5</w:t>
            </w:r>
          </w:p>
        </w:tc>
        <w:tc>
          <w:tcPr>
            <w:tcW w:w="1263"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5.4</w:t>
            </w:r>
          </w:p>
        </w:tc>
      </w:tr>
    </w:tbl>
    <w:p w:rsidR="00BB1024" w:rsidRPr="00F61A0E" w:rsidRDefault="00243D89">
      <w:pPr>
        <w:pStyle w:val="Heading4"/>
        <w:rPr>
          <w:rFonts w:ascii="Times New Roman" w:hAnsi="Times New Roman" w:cs="Times New Roman"/>
          <w:sz w:val="24"/>
          <w:szCs w:val="24"/>
        </w:rPr>
      </w:pPr>
      <w:r w:rsidRPr="00F61A0E">
        <w:rPr>
          <w:rStyle w:val="Strong"/>
          <w:rFonts w:ascii="Times New Roman" w:hAnsi="Times New Roman" w:cs="Times New Roman"/>
          <w:color w:val="000000"/>
          <w:sz w:val="24"/>
          <w:szCs w:val="24"/>
        </w:rPr>
        <w:t>C. Diagnostic Test Results</w:t>
      </w:r>
    </w:p>
    <w:p w:rsidR="00BB1024" w:rsidRPr="00F61A0E" w:rsidRDefault="00243D89">
      <w:pPr>
        <w:pStyle w:val="BodyText"/>
        <w:rPr>
          <w:rFonts w:ascii="Times New Roman" w:hAnsi="Times New Roman" w:cs="Times New Roman"/>
          <w:sz w:val="24"/>
          <w:szCs w:val="24"/>
        </w:rPr>
      </w:pPr>
      <w:r w:rsidRPr="00F61A0E">
        <w:rPr>
          <w:rStyle w:val="Strong"/>
          <w:rFonts w:ascii="Times New Roman" w:hAnsi="Times New Roman" w:cs="Times New Roman"/>
          <w:sz w:val="24"/>
          <w:szCs w:val="24"/>
        </w:rPr>
        <w:t>1. Multicollinearity Test (Variance Inflation Factor - VIF):</w:t>
      </w:r>
    </w:p>
    <w:tbl>
      <w:tblPr>
        <w:tblW w:w="3633" w:type="dxa"/>
        <w:tblInd w:w="-5" w:type="dxa"/>
        <w:tblLayout w:type="fixed"/>
        <w:tblCellMar>
          <w:top w:w="55" w:type="dxa"/>
          <w:left w:w="55" w:type="dxa"/>
          <w:bottom w:w="55" w:type="dxa"/>
          <w:right w:w="55" w:type="dxa"/>
        </w:tblCellMar>
        <w:tblLook w:val="04A0" w:firstRow="1" w:lastRow="0" w:firstColumn="1" w:lastColumn="0" w:noHBand="0" w:noVBand="1"/>
      </w:tblPr>
      <w:tblGrid>
        <w:gridCol w:w="2459"/>
        <w:gridCol w:w="1174"/>
      </w:tblGrid>
      <w:tr w:rsidR="00BB1024" w:rsidRPr="00F61A0E">
        <w:trPr>
          <w:tblHeader/>
        </w:trPr>
        <w:tc>
          <w:tcPr>
            <w:tcW w:w="2458" w:type="dxa"/>
            <w:tcBorders>
              <w:top w:val="single" w:sz="4" w:space="0" w:color="000000"/>
              <w:left w:val="single" w:sz="4" w:space="0" w:color="000000"/>
              <w:bottom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Variable</w:t>
            </w:r>
          </w:p>
        </w:tc>
        <w:tc>
          <w:tcPr>
            <w:tcW w:w="1174" w:type="dxa"/>
            <w:tcBorders>
              <w:top w:val="single" w:sz="4" w:space="0" w:color="000000"/>
              <w:left w:val="single" w:sz="4" w:space="0" w:color="000000"/>
              <w:bottom w:val="single" w:sz="4" w:space="0" w:color="000000"/>
              <w:right w:val="single" w:sz="4" w:space="0" w:color="000000"/>
            </w:tcBorders>
            <w:vAlign w:val="center"/>
          </w:tcPr>
          <w:p w:rsidR="00BB1024" w:rsidRPr="00F61A0E" w:rsidRDefault="00243D89">
            <w:pPr>
              <w:pStyle w:val="TableHeading"/>
              <w:rPr>
                <w:rFonts w:ascii="Times New Roman" w:hAnsi="Times New Roman" w:cs="Times New Roman"/>
                <w:sz w:val="24"/>
                <w:szCs w:val="24"/>
              </w:rPr>
            </w:pPr>
            <w:r w:rsidRPr="00F61A0E">
              <w:rPr>
                <w:rStyle w:val="Strong"/>
                <w:rFonts w:ascii="Times New Roman" w:hAnsi="Times New Roman" w:cs="Times New Roman"/>
                <w:b/>
                <w:bCs/>
                <w:sz w:val="24"/>
                <w:szCs w:val="24"/>
              </w:rPr>
              <w:t>VIF Value</w:t>
            </w:r>
          </w:p>
        </w:tc>
      </w:tr>
      <w:tr w:rsidR="00BB1024" w:rsidRPr="00F61A0E">
        <w:tc>
          <w:tcPr>
            <w:tcW w:w="245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FDI (% of GDP)</w:t>
            </w:r>
          </w:p>
        </w:tc>
        <w:tc>
          <w:tcPr>
            <w:tcW w:w="1174"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1.85</w:t>
            </w:r>
          </w:p>
        </w:tc>
      </w:tr>
      <w:tr w:rsidR="00BB1024" w:rsidRPr="00F61A0E">
        <w:tc>
          <w:tcPr>
            <w:tcW w:w="245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Government Spending</w:t>
            </w:r>
          </w:p>
        </w:tc>
        <w:tc>
          <w:tcPr>
            <w:tcW w:w="1174"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2.12</w:t>
            </w:r>
          </w:p>
        </w:tc>
      </w:tr>
      <w:tr w:rsidR="00BB1024" w:rsidRPr="00F61A0E">
        <w:tc>
          <w:tcPr>
            <w:tcW w:w="2458" w:type="dxa"/>
            <w:tcBorders>
              <w:left w:val="single" w:sz="4" w:space="0" w:color="000000"/>
              <w:bottom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Trade Balance</w:t>
            </w:r>
          </w:p>
        </w:tc>
        <w:tc>
          <w:tcPr>
            <w:tcW w:w="1174" w:type="dxa"/>
            <w:tcBorders>
              <w:left w:val="single" w:sz="4" w:space="0" w:color="000000"/>
              <w:bottom w:val="single" w:sz="4" w:space="0" w:color="000000"/>
              <w:right w:val="single" w:sz="4" w:space="0" w:color="000000"/>
            </w:tcBorders>
            <w:vAlign w:val="center"/>
          </w:tcPr>
          <w:p w:rsidR="00BB1024" w:rsidRPr="00F61A0E" w:rsidRDefault="00243D89">
            <w:pPr>
              <w:pStyle w:val="TableContents"/>
              <w:rPr>
                <w:rFonts w:ascii="Times New Roman" w:hAnsi="Times New Roman" w:cs="Times New Roman"/>
                <w:sz w:val="24"/>
                <w:szCs w:val="24"/>
              </w:rPr>
            </w:pPr>
            <w:r w:rsidRPr="00F61A0E">
              <w:rPr>
                <w:rFonts w:ascii="Times New Roman" w:hAnsi="Times New Roman" w:cs="Times New Roman"/>
                <w:sz w:val="24"/>
                <w:szCs w:val="24"/>
              </w:rPr>
              <w:t>1.78</w:t>
            </w:r>
          </w:p>
        </w:tc>
      </w:tr>
    </w:tbl>
    <w:p w:rsidR="00BB1024" w:rsidRPr="00F61A0E" w:rsidRDefault="00BB1024">
      <w:pPr>
        <w:rPr>
          <w:rFonts w:ascii="Times New Roman" w:hAnsi="Times New Roman" w:cs="Times New Roman"/>
          <w:sz w:val="24"/>
          <w:szCs w:val="24"/>
        </w:rPr>
      </w:pPr>
    </w:p>
    <w:p w:rsidR="00BB1024" w:rsidRPr="00F61A0E" w:rsidRDefault="00243D89">
      <w:pPr>
        <w:pStyle w:val="BodyText"/>
        <w:rPr>
          <w:rFonts w:ascii="Times New Roman" w:hAnsi="Times New Roman" w:cs="Times New Roman"/>
          <w:sz w:val="24"/>
          <w:szCs w:val="24"/>
        </w:rPr>
      </w:pPr>
      <w:r w:rsidRPr="00F61A0E">
        <w:rPr>
          <w:rStyle w:val="Strong"/>
          <w:rFonts w:ascii="Times New Roman" w:hAnsi="Times New Roman" w:cs="Times New Roman"/>
          <w:sz w:val="24"/>
          <w:szCs w:val="24"/>
        </w:rPr>
        <w:t>2. Heteroscedasticity Test (Breusch-Pagan Test):</w:t>
      </w:r>
    </w:p>
    <w:p w:rsidR="00BB1024" w:rsidRPr="00F61A0E" w:rsidRDefault="00243D89">
      <w:pPr>
        <w:pStyle w:val="BodyText"/>
        <w:numPr>
          <w:ilvl w:val="0"/>
          <w:numId w:val="3"/>
        </w:numPr>
        <w:tabs>
          <w:tab w:val="clear" w:pos="709"/>
          <w:tab w:val="left" w:pos="0"/>
        </w:tabs>
        <w:spacing w:after="0"/>
        <w:rPr>
          <w:rFonts w:ascii="Times New Roman" w:hAnsi="Times New Roman" w:cs="Times New Roman"/>
          <w:sz w:val="24"/>
          <w:szCs w:val="24"/>
        </w:rPr>
      </w:pPr>
      <w:r w:rsidRPr="00F61A0E">
        <w:rPr>
          <w:rStyle w:val="Strong"/>
          <w:rFonts w:ascii="Times New Roman" w:hAnsi="Times New Roman" w:cs="Times New Roman"/>
          <w:sz w:val="24"/>
          <w:szCs w:val="24"/>
        </w:rPr>
        <w:t>Test Statistic (χ²):</w:t>
      </w:r>
      <w:r w:rsidRPr="00F61A0E">
        <w:rPr>
          <w:rFonts w:ascii="Times New Roman" w:hAnsi="Times New Roman" w:cs="Times New Roman"/>
          <w:sz w:val="24"/>
          <w:szCs w:val="24"/>
        </w:rPr>
        <w:t xml:space="preserve"> 2.45</w:t>
      </w:r>
    </w:p>
    <w:p w:rsidR="00BB1024" w:rsidRPr="00F61A0E" w:rsidRDefault="00243D89">
      <w:pPr>
        <w:pStyle w:val="BodyText"/>
        <w:numPr>
          <w:ilvl w:val="0"/>
          <w:numId w:val="3"/>
        </w:numPr>
        <w:tabs>
          <w:tab w:val="clear" w:pos="709"/>
          <w:tab w:val="left" w:pos="0"/>
        </w:tabs>
        <w:rPr>
          <w:rFonts w:ascii="Times New Roman" w:hAnsi="Times New Roman" w:cs="Times New Roman"/>
          <w:sz w:val="24"/>
          <w:szCs w:val="24"/>
        </w:rPr>
      </w:pPr>
      <w:r w:rsidRPr="00F61A0E">
        <w:rPr>
          <w:rStyle w:val="Strong"/>
          <w:rFonts w:ascii="Times New Roman" w:hAnsi="Times New Roman" w:cs="Times New Roman"/>
          <w:sz w:val="24"/>
          <w:szCs w:val="24"/>
        </w:rPr>
        <w:t>p-value:</w:t>
      </w:r>
      <w:r w:rsidRPr="00F61A0E">
        <w:rPr>
          <w:rFonts w:ascii="Times New Roman" w:hAnsi="Times New Roman" w:cs="Times New Roman"/>
          <w:sz w:val="24"/>
          <w:szCs w:val="24"/>
        </w:rPr>
        <w:t xml:space="preserve"> 0.12</w:t>
      </w:r>
    </w:p>
    <w:p w:rsidR="00BB1024" w:rsidRPr="00F61A0E" w:rsidRDefault="00243D89">
      <w:pPr>
        <w:pStyle w:val="BodyText"/>
        <w:rPr>
          <w:rFonts w:ascii="Times New Roman" w:hAnsi="Times New Roman" w:cs="Times New Roman"/>
          <w:sz w:val="24"/>
          <w:szCs w:val="24"/>
        </w:rPr>
      </w:pPr>
      <w:r w:rsidRPr="00F61A0E">
        <w:rPr>
          <w:rStyle w:val="Strong"/>
          <w:rFonts w:ascii="Times New Roman" w:hAnsi="Times New Roman" w:cs="Times New Roman"/>
          <w:sz w:val="24"/>
          <w:szCs w:val="24"/>
        </w:rPr>
        <w:lastRenderedPageBreak/>
        <w:t>3. Autocorrelation Test (Durbin-Watson):</w:t>
      </w:r>
    </w:p>
    <w:p w:rsidR="00BB1024" w:rsidRPr="00F61A0E" w:rsidRDefault="00243D89">
      <w:pPr>
        <w:pStyle w:val="BodyText"/>
        <w:numPr>
          <w:ilvl w:val="0"/>
          <w:numId w:val="4"/>
        </w:numPr>
        <w:tabs>
          <w:tab w:val="clear" w:pos="709"/>
          <w:tab w:val="left" w:pos="0"/>
        </w:tabs>
        <w:rPr>
          <w:rFonts w:ascii="Times New Roman" w:hAnsi="Times New Roman" w:cs="Times New Roman"/>
          <w:sz w:val="24"/>
          <w:szCs w:val="24"/>
        </w:rPr>
      </w:pPr>
      <w:r w:rsidRPr="00F61A0E">
        <w:rPr>
          <w:rStyle w:val="Strong"/>
          <w:rFonts w:ascii="Times New Roman" w:hAnsi="Times New Roman" w:cs="Times New Roman"/>
          <w:sz w:val="24"/>
          <w:szCs w:val="24"/>
        </w:rPr>
        <w:t>Statistic Value:</w:t>
      </w:r>
      <w:r w:rsidRPr="00F61A0E">
        <w:rPr>
          <w:rFonts w:ascii="Times New Roman" w:hAnsi="Times New Roman" w:cs="Times New Roman"/>
          <w:sz w:val="24"/>
          <w:szCs w:val="24"/>
        </w:rPr>
        <w:t xml:space="preserve"> 2.03</w:t>
      </w:r>
    </w:p>
    <w:p w:rsidR="00793651" w:rsidRPr="00F61A0E" w:rsidRDefault="00793651" w:rsidP="00793651">
      <w:pPr>
        <w:pStyle w:val="ListParagraph"/>
        <w:numPr>
          <w:ilvl w:val="0"/>
          <w:numId w:val="4"/>
        </w:numPr>
        <w:jc w:val="center"/>
        <w:rPr>
          <w:rFonts w:ascii="Times New Roman" w:hAnsi="Times New Roman" w:cs="Times New Roman"/>
          <w:sz w:val="24"/>
          <w:szCs w:val="24"/>
        </w:rPr>
      </w:pPr>
      <w:r w:rsidRPr="00F61A0E">
        <w:rPr>
          <w:rFonts w:ascii="Times New Roman" w:hAnsi="Times New Roman" w:cs="Times New Roman"/>
          <w:sz w:val="24"/>
          <w:szCs w:val="24"/>
        </w:rPr>
        <w:t>Government Expenditure (%of GDP)</w:t>
      </w:r>
    </w:p>
    <w:p w:rsidR="00793651" w:rsidRPr="00F61A0E" w:rsidRDefault="00793651" w:rsidP="00793651">
      <w:pPr>
        <w:pStyle w:val="ListParagraph"/>
        <w:numPr>
          <w:ilvl w:val="0"/>
          <w:numId w:val="4"/>
        </w:numPr>
        <w:jc w:val="center"/>
        <w:rPr>
          <w:rFonts w:ascii="Times New Roman" w:hAnsi="Times New Roman" w:cs="Times New Roman"/>
          <w:sz w:val="24"/>
          <w:szCs w:val="24"/>
        </w:rPr>
      </w:pPr>
      <w:r w:rsidRPr="00F61A0E">
        <w:rPr>
          <w:rFonts w:ascii="Times New Roman" w:hAnsi="Times New Roman" w:cs="Times New Roman"/>
          <w:noProof/>
          <w:sz w:val="24"/>
          <w:szCs w:val="24"/>
        </w:rPr>
        <w:drawing>
          <wp:inline distT="0" distB="0" distL="0" distR="0" wp14:anchorId="5ED6FAD6" wp14:editId="7861CFC9">
            <wp:extent cx="4648849" cy="24577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849" cy="2457793"/>
                    </a:xfrm>
                    <a:prstGeom prst="rect">
                      <a:avLst/>
                    </a:prstGeom>
                  </pic:spPr>
                </pic:pic>
              </a:graphicData>
            </a:graphic>
          </wp:inline>
        </w:drawing>
      </w:r>
    </w:p>
    <w:p w:rsidR="00793651" w:rsidRPr="00F61A0E" w:rsidRDefault="00793651" w:rsidP="00793651">
      <w:pPr>
        <w:pStyle w:val="ListParagraph"/>
        <w:numPr>
          <w:ilvl w:val="0"/>
          <w:numId w:val="4"/>
        </w:numPr>
        <w:jc w:val="center"/>
        <w:rPr>
          <w:rFonts w:ascii="Times New Roman" w:hAnsi="Times New Roman" w:cs="Times New Roman"/>
          <w:sz w:val="24"/>
          <w:szCs w:val="24"/>
        </w:rPr>
      </w:pPr>
      <w:r w:rsidRPr="00F61A0E">
        <w:rPr>
          <w:rFonts w:ascii="Times New Roman" w:hAnsi="Times New Roman" w:cs="Times New Roman"/>
          <w:noProof/>
          <w:sz w:val="24"/>
          <w:szCs w:val="24"/>
        </w:rPr>
        <w:drawing>
          <wp:inline distT="0" distB="0" distL="0" distR="0" wp14:anchorId="5B6D4F60" wp14:editId="0B8AEB5F">
            <wp:extent cx="5943600" cy="348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7420"/>
                    </a:xfrm>
                    <a:prstGeom prst="rect">
                      <a:avLst/>
                    </a:prstGeom>
                  </pic:spPr>
                </pic:pic>
              </a:graphicData>
            </a:graphic>
          </wp:inline>
        </w:drawing>
      </w:r>
    </w:p>
    <w:p w:rsidR="00793651" w:rsidRPr="00F61A0E" w:rsidRDefault="00793651" w:rsidP="00793651">
      <w:pPr>
        <w:pStyle w:val="ListParagraph"/>
        <w:numPr>
          <w:ilvl w:val="0"/>
          <w:numId w:val="4"/>
        </w:numPr>
        <w:jc w:val="center"/>
        <w:rPr>
          <w:rFonts w:ascii="Times New Roman" w:hAnsi="Times New Roman" w:cs="Times New Roman"/>
          <w:sz w:val="24"/>
          <w:szCs w:val="24"/>
        </w:rPr>
      </w:pPr>
      <w:r w:rsidRPr="00F61A0E">
        <w:rPr>
          <w:rFonts w:ascii="Times New Roman" w:hAnsi="Times New Roman" w:cs="Times New Roman"/>
          <w:noProof/>
          <w:sz w:val="24"/>
          <w:szCs w:val="24"/>
        </w:rPr>
        <w:lastRenderedPageBreak/>
        <w:drawing>
          <wp:inline distT="0" distB="0" distL="0" distR="0" wp14:anchorId="6B7458A7" wp14:editId="6979E0E6">
            <wp:extent cx="5943600" cy="3300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0095"/>
                    </a:xfrm>
                    <a:prstGeom prst="rect">
                      <a:avLst/>
                    </a:prstGeom>
                  </pic:spPr>
                </pic:pic>
              </a:graphicData>
            </a:graphic>
          </wp:inline>
        </w:drawing>
      </w:r>
    </w:p>
    <w:p w:rsidR="00836480" w:rsidRPr="00F61A0E" w:rsidRDefault="00836480" w:rsidP="00793651">
      <w:pPr>
        <w:pStyle w:val="ListParagraph"/>
        <w:numPr>
          <w:ilvl w:val="0"/>
          <w:numId w:val="4"/>
        </w:numPr>
        <w:jc w:val="center"/>
        <w:rPr>
          <w:rFonts w:ascii="Times New Roman" w:hAnsi="Times New Roman" w:cs="Times New Roman"/>
          <w:sz w:val="24"/>
          <w:szCs w:val="24"/>
        </w:rPr>
      </w:pPr>
    </w:p>
    <w:p w:rsidR="00836480" w:rsidRPr="00F61A0E" w:rsidRDefault="00836480" w:rsidP="00793651">
      <w:pPr>
        <w:pStyle w:val="ListParagraph"/>
        <w:numPr>
          <w:ilvl w:val="0"/>
          <w:numId w:val="4"/>
        </w:numPr>
        <w:jc w:val="center"/>
        <w:rPr>
          <w:rFonts w:ascii="Times New Roman" w:hAnsi="Times New Roman" w:cs="Times New Roman"/>
          <w:sz w:val="24"/>
          <w:szCs w:val="24"/>
        </w:rPr>
      </w:pPr>
    </w:p>
    <w:p w:rsidR="00836480" w:rsidRPr="00F61A0E" w:rsidRDefault="00836480" w:rsidP="00836480">
      <w:pPr>
        <w:pStyle w:val="ListParagraph"/>
        <w:ind w:left="709"/>
        <w:rPr>
          <w:rFonts w:ascii="Times New Roman" w:hAnsi="Times New Roman" w:cs="Times New Roman"/>
          <w:sz w:val="24"/>
          <w:szCs w:val="24"/>
        </w:rPr>
      </w:pPr>
    </w:p>
    <w:p w:rsidR="00836480" w:rsidRPr="00F61A0E" w:rsidRDefault="00836480" w:rsidP="00836480">
      <w:pPr>
        <w:pStyle w:val="ListParagraph"/>
        <w:ind w:left="709"/>
        <w:rPr>
          <w:rFonts w:ascii="Times New Roman" w:hAnsi="Times New Roman" w:cs="Times New Roman"/>
          <w:sz w:val="24"/>
          <w:szCs w:val="24"/>
        </w:rPr>
      </w:pPr>
    </w:p>
    <w:p w:rsidR="00793651" w:rsidRPr="00F61A0E" w:rsidRDefault="00793651" w:rsidP="00836480">
      <w:pPr>
        <w:pStyle w:val="ListParagraph"/>
        <w:ind w:left="709"/>
        <w:rPr>
          <w:rFonts w:ascii="Times New Roman" w:hAnsi="Times New Roman" w:cs="Times New Roman"/>
          <w:sz w:val="24"/>
          <w:szCs w:val="24"/>
        </w:rPr>
      </w:pPr>
      <w:r w:rsidRPr="00F61A0E">
        <w:rPr>
          <w:rFonts w:ascii="Times New Roman" w:hAnsi="Times New Roman" w:cs="Times New Roman"/>
          <w:noProof/>
          <w:sz w:val="24"/>
          <w:szCs w:val="24"/>
        </w:rPr>
        <w:drawing>
          <wp:inline distT="0" distB="0" distL="0" distR="0" wp14:anchorId="03B5B67E" wp14:editId="6D26B891">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0525"/>
                    </a:xfrm>
                    <a:prstGeom prst="rect">
                      <a:avLst/>
                    </a:prstGeom>
                  </pic:spPr>
                </pic:pic>
              </a:graphicData>
            </a:graphic>
          </wp:inline>
        </w:drawing>
      </w:r>
    </w:p>
    <w:p w:rsidR="00793651" w:rsidRPr="00F61A0E" w:rsidRDefault="00793651" w:rsidP="00793651">
      <w:pPr>
        <w:pStyle w:val="ListParagraph"/>
        <w:numPr>
          <w:ilvl w:val="0"/>
          <w:numId w:val="4"/>
        </w:numPr>
        <w:jc w:val="center"/>
        <w:rPr>
          <w:rFonts w:ascii="Times New Roman" w:hAnsi="Times New Roman" w:cs="Times New Roman"/>
          <w:sz w:val="24"/>
          <w:szCs w:val="24"/>
        </w:rPr>
      </w:pPr>
      <w:r w:rsidRPr="00F61A0E">
        <w:rPr>
          <w:rFonts w:ascii="Times New Roman" w:hAnsi="Times New Roman" w:cs="Times New Roman"/>
          <w:noProof/>
          <w:sz w:val="24"/>
          <w:szCs w:val="24"/>
        </w:rPr>
        <w:lastRenderedPageBreak/>
        <w:drawing>
          <wp:inline distT="0" distB="0" distL="0" distR="0" wp14:anchorId="018386BE" wp14:editId="2DD4E870">
            <wp:extent cx="5943600" cy="2896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6235"/>
                    </a:xfrm>
                    <a:prstGeom prst="rect">
                      <a:avLst/>
                    </a:prstGeom>
                  </pic:spPr>
                </pic:pic>
              </a:graphicData>
            </a:graphic>
          </wp:inline>
        </w:drawing>
      </w:r>
      <w:r w:rsidRPr="00F61A0E">
        <w:rPr>
          <w:rFonts w:ascii="Times New Roman" w:hAnsi="Times New Roman" w:cs="Times New Roman"/>
          <w:noProof/>
          <w:sz w:val="24"/>
          <w:szCs w:val="24"/>
        </w:rPr>
        <w:drawing>
          <wp:inline distT="0" distB="0" distL="0" distR="0" wp14:anchorId="5BE5DA1E" wp14:editId="1BED968B">
            <wp:extent cx="5943600" cy="3647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7440"/>
                    </a:xfrm>
                    <a:prstGeom prst="rect">
                      <a:avLst/>
                    </a:prstGeom>
                  </pic:spPr>
                </pic:pic>
              </a:graphicData>
            </a:graphic>
          </wp:inline>
        </w:drawing>
      </w:r>
    </w:p>
    <w:p w:rsidR="00793651" w:rsidRPr="00F61A0E" w:rsidRDefault="00793651" w:rsidP="00793651">
      <w:pPr>
        <w:pStyle w:val="ListParagraph"/>
        <w:numPr>
          <w:ilvl w:val="0"/>
          <w:numId w:val="4"/>
        </w:numPr>
        <w:jc w:val="center"/>
        <w:rPr>
          <w:rFonts w:ascii="Times New Roman" w:hAnsi="Times New Roman" w:cs="Times New Roman"/>
          <w:sz w:val="24"/>
          <w:szCs w:val="24"/>
        </w:rPr>
      </w:pPr>
    </w:p>
    <w:p w:rsidR="00793651" w:rsidRPr="00F61A0E" w:rsidRDefault="00793651" w:rsidP="00793651">
      <w:pPr>
        <w:pStyle w:val="ListParagraph"/>
        <w:numPr>
          <w:ilvl w:val="0"/>
          <w:numId w:val="4"/>
        </w:numPr>
        <w:spacing w:beforeAutospacing="1" w:afterAutospacing="1" w:line="480" w:lineRule="auto"/>
        <w:rPr>
          <w:rFonts w:ascii="Times New Roman" w:hAnsi="Times New Roman" w:cs="Times New Roman"/>
          <w:sz w:val="24"/>
          <w:szCs w:val="24"/>
        </w:rPr>
      </w:pPr>
      <w:r w:rsidRPr="00F61A0E">
        <w:rPr>
          <w:rFonts w:ascii="Times New Roman" w:hAnsi="Times New Roman" w:cs="Times New Roman"/>
          <w:noProof/>
          <w:sz w:val="24"/>
          <w:szCs w:val="24"/>
        </w:rPr>
        <w:lastRenderedPageBreak/>
        <w:drawing>
          <wp:inline distT="0" distB="0" distL="0" distR="0" wp14:anchorId="04B50201" wp14:editId="2F1A99FC">
            <wp:extent cx="5943600" cy="564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48325"/>
                    </a:xfrm>
                    <a:prstGeom prst="rect">
                      <a:avLst/>
                    </a:prstGeom>
                  </pic:spPr>
                </pic:pic>
              </a:graphicData>
            </a:graphic>
          </wp:inline>
        </w:drawing>
      </w:r>
    </w:p>
    <w:p w:rsidR="00793651" w:rsidRPr="00F61A0E" w:rsidRDefault="00793651" w:rsidP="00793651">
      <w:pPr>
        <w:pStyle w:val="ListParagraph"/>
        <w:numPr>
          <w:ilvl w:val="0"/>
          <w:numId w:val="4"/>
        </w:numPr>
        <w:spacing w:beforeAutospacing="1" w:afterAutospacing="1" w:line="480" w:lineRule="auto"/>
        <w:rPr>
          <w:rFonts w:ascii="Times New Roman" w:hAnsi="Times New Roman" w:cs="Times New Roman"/>
          <w:sz w:val="24"/>
          <w:szCs w:val="24"/>
        </w:rPr>
      </w:pPr>
      <w:r w:rsidRPr="00F61A0E">
        <w:rPr>
          <w:rFonts w:ascii="Times New Roman" w:hAnsi="Times New Roman" w:cs="Times New Roman"/>
          <w:noProof/>
          <w:sz w:val="24"/>
          <w:szCs w:val="24"/>
        </w:rPr>
        <w:lastRenderedPageBreak/>
        <w:drawing>
          <wp:inline distT="0" distB="0" distL="0" distR="0" wp14:anchorId="2A92262D" wp14:editId="43CF46B8">
            <wp:extent cx="5943600" cy="5681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81980"/>
                    </a:xfrm>
                    <a:prstGeom prst="rect">
                      <a:avLst/>
                    </a:prstGeom>
                  </pic:spPr>
                </pic:pic>
              </a:graphicData>
            </a:graphic>
          </wp:inline>
        </w:drawing>
      </w:r>
    </w:p>
    <w:p w:rsidR="00793651" w:rsidRPr="00F61A0E" w:rsidRDefault="00793651" w:rsidP="00793651">
      <w:pPr>
        <w:pStyle w:val="ListParagraph"/>
        <w:numPr>
          <w:ilvl w:val="0"/>
          <w:numId w:val="4"/>
        </w:numPr>
        <w:spacing w:beforeAutospacing="1" w:afterAutospacing="1" w:line="480" w:lineRule="auto"/>
        <w:rPr>
          <w:rFonts w:ascii="Times New Roman" w:hAnsi="Times New Roman" w:cs="Times New Roman"/>
          <w:sz w:val="24"/>
          <w:szCs w:val="24"/>
        </w:rPr>
      </w:pPr>
      <w:r w:rsidRPr="00F61A0E">
        <w:rPr>
          <w:rFonts w:ascii="Times New Roman" w:hAnsi="Times New Roman" w:cs="Times New Roman"/>
          <w:noProof/>
          <w:sz w:val="24"/>
          <w:szCs w:val="24"/>
        </w:rPr>
        <w:drawing>
          <wp:inline distT="0" distB="0" distL="0" distR="0" wp14:anchorId="01D8C76E" wp14:editId="74677E7B">
            <wp:extent cx="2857500" cy="171266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6702" cy="1718184"/>
                    </a:xfrm>
                    <a:prstGeom prst="rect">
                      <a:avLst/>
                    </a:prstGeom>
                  </pic:spPr>
                </pic:pic>
              </a:graphicData>
            </a:graphic>
          </wp:inline>
        </w:drawing>
      </w:r>
    </w:p>
    <w:p w:rsidR="00793651" w:rsidRPr="00F61A0E" w:rsidRDefault="00793651" w:rsidP="00793651">
      <w:pPr>
        <w:pStyle w:val="BodyText"/>
        <w:tabs>
          <w:tab w:val="left" w:pos="0"/>
        </w:tabs>
        <w:ind w:left="709"/>
        <w:rPr>
          <w:rFonts w:ascii="Times New Roman" w:hAnsi="Times New Roman" w:cs="Times New Roman"/>
          <w:sz w:val="24"/>
          <w:szCs w:val="24"/>
        </w:rPr>
      </w:pPr>
    </w:p>
    <w:p w:rsidR="00836480" w:rsidRPr="00F61A0E" w:rsidRDefault="00836480" w:rsidP="00836480">
      <w:pPr>
        <w:rPr>
          <w:rFonts w:ascii="Times New Roman" w:hAnsi="Times New Roman" w:cs="Times New Roman"/>
          <w:b/>
          <w:sz w:val="24"/>
          <w:szCs w:val="24"/>
        </w:rPr>
      </w:pPr>
      <w:r w:rsidRPr="00F61A0E">
        <w:rPr>
          <w:rFonts w:ascii="Times New Roman" w:hAnsi="Times New Roman" w:cs="Times New Roman"/>
          <w:b/>
          <w:sz w:val="24"/>
          <w:szCs w:val="24"/>
        </w:rPr>
        <w:lastRenderedPageBreak/>
        <w:t>Results from Data Analysis</w:t>
      </w:r>
    </w:p>
    <w:p w:rsidR="00836480" w:rsidRPr="00F61A0E" w:rsidRDefault="00836480" w:rsidP="00836480">
      <w:pPr>
        <w:rPr>
          <w:rFonts w:ascii="Times New Roman" w:hAnsi="Times New Roman" w:cs="Times New Roman"/>
          <w:sz w:val="24"/>
          <w:szCs w:val="24"/>
        </w:rPr>
      </w:pP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1. OLS Regression Summary</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Dependent Variable: GDP Growth (%)</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noProof/>
          <w:sz w:val="24"/>
          <w:szCs w:val="24"/>
        </w:rPr>
        <w:drawing>
          <wp:anchor distT="0" distB="0" distL="114300" distR="114300" simplePos="0" relativeHeight="251663360" behindDoc="0" locked="0" layoutInCell="1" allowOverlap="1" wp14:anchorId="7B9CC820" wp14:editId="48B66F42">
            <wp:simplePos x="0" y="0"/>
            <wp:positionH relativeFrom="column">
              <wp:posOffset>-214468</wp:posOffset>
            </wp:positionH>
            <wp:positionV relativeFrom="paragraph">
              <wp:posOffset>615409</wp:posOffset>
            </wp:positionV>
            <wp:extent cx="4214495" cy="836295"/>
            <wp:effectExtent l="0" t="0" r="0" b="1905"/>
            <wp:wrapTopAndBottom/>
            <wp:docPr id="1149710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10212" name="Picture 1149710212"/>
                    <pic:cNvPicPr/>
                  </pic:nvPicPr>
                  <pic:blipFill rotWithShape="1">
                    <a:blip r:embed="rId18" cstate="print">
                      <a:extLst>
                        <a:ext uri="{28A0092B-C50C-407E-A947-70E740481C1C}">
                          <a14:useLocalDpi xmlns:a14="http://schemas.microsoft.com/office/drawing/2010/main" val="0"/>
                        </a:ext>
                      </a:extLst>
                    </a:blip>
                    <a:srcRect l="54173" t="46628" r="-18494" b="35083"/>
                    <a:stretch/>
                  </pic:blipFill>
                  <pic:spPr bwMode="auto">
                    <a:xfrm>
                      <a:off x="0" y="0"/>
                      <a:ext cx="4214495" cy="83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1A0E">
        <w:rPr>
          <w:rFonts w:ascii="Times New Roman" w:hAnsi="Times New Roman" w:cs="Times New Roman"/>
          <w:sz w:val="24"/>
          <w:szCs w:val="24"/>
        </w:rPr>
        <w:t>Independent Variables: FDI (% of GDP), Government Spending (% of GDP), Trade Balance (% of GDP).</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2. Variance Inflation Factor (VIF)</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No significant multicollinearity detected. All VIF values were below 5.</w:t>
      </w:r>
    </w:p>
    <w:p w:rsidR="00836480" w:rsidRPr="00F61A0E" w:rsidRDefault="00836480" w:rsidP="00836480">
      <w:pPr>
        <w:rPr>
          <w:rFonts w:ascii="Times New Roman" w:hAnsi="Times New Roman" w:cs="Times New Roman"/>
          <w:sz w:val="24"/>
          <w:szCs w:val="24"/>
        </w:rPr>
      </w:pP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3. Breusch-Pagan Test</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ab/>
        <w:t>•</w:t>
      </w:r>
      <w:r w:rsidRPr="00F61A0E">
        <w:rPr>
          <w:rFonts w:ascii="Times New Roman" w:hAnsi="Times New Roman" w:cs="Times New Roman"/>
          <w:sz w:val="24"/>
          <w:szCs w:val="24"/>
        </w:rPr>
        <w:tab/>
        <w:t>p-value: ~0.089</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Interpretation: No significant evidence of heteroskedasticity.</w:t>
      </w:r>
    </w:p>
    <w:p w:rsidR="00836480" w:rsidRPr="00F61A0E" w:rsidRDefault="00836480" w:rsidP="00836480">
      <w:pPr>
        <w:rPr>
          <w:rFonts w:ascii="Times New Roman" w:hAnsi="Times New Roman" w:cs="Times New Roman"/>
          <w:sz w:val="24"/>
          <w:szCs w:val="24"/>
        </w:rPr>
      </w:pP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4. Durbin-Watson Test</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ab/>
        <w:t>•</w:t>
      </w:r>
      <w:r w:rsidRPr="00F61A0E">
        <w:rPr>
          <w:rFonts w:ascii="Times New Roman" w:hAnsi="Times New Roman" w:cs="Times New Roman"/>
          <w:sz w:val="24"/>
          <w:szCs w:val="24"/>
        </w:rPr>
        <w:tab/>
        <w:t>Value: ~1.78</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Interpretation: Residuals show no significant autocorrelation.</w:t>
      </w:r>
    </w:p>
    <w:p w:rsidR="00836480" w:rsidRPr="00F61A0E" w:rsidRDefault="00836480" w:rsidP="00836480">
      <w:pPr>
        <w:rPr>
          <w:rFonts w:ascii="Times New Roman" w:hAnsi="Times New Roman" w:cs="Times New Roman"/>
          <w:sz w:val="24"/>
          <w:szCs w:val="24"/>
        </w:rPr>
      </w:pP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Graphs</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ab/>
        <w:t>1.</w:t>
      </w:r>
      <w:r w:rsidRPr="00F61A0E">
        <w:rPr>
          <w:rFonts w:ascii="Times New Roman" w:hAnsi="Times New Roman" w:cs="Times New Roman"/>
          <w:sz w:val="24"/>
          <w:szCs w:val="24"/>
        </w:rPr>
        <w:tab/>
        <w:t>Scatterplot: GDP Growth vs. FDI:</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ab/>
        <w:t>•</w:t>
      </w:r>
      <w:r w:rsidRPr="00F61A0E">
        <w:rPr>
          <w:rFonts w:ascii="Times New Roman" w:hAnsi="Times New Roman" w:cs="Times New Roman"/>
          <w:sz w:val="24"/>
          <w:szCs w:val="24"/>
        </w:rPr>
        <w:tab/>
        <w:t>Positive trend observed, confirming regression results.</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ab/>
        <w:t>2.</w:t>
      </w:r>
      <w:r w:rsidRPr="00F61A0E">
        <w:rPr>
          <w:rFonts w:ascii="Times New Roman" w:hAnsi="Times New Roman" w:cs="Times New Roman"/>
          <w:sz w:val="24"/>
          <w:szCs w:val="24"/>
        </w:rPr>
        <w:tab/>
        <w:t>Residual Plot:</w:t>
      </w:r>
    </w:p>
    <w:p w:rsidR="00836480" w:rsidRPr="00F61A0E" w:rsidRDefault="00836480" w:rsidP="00836480">
      <w:pPr>
        <w:rPr>
          <w:rFonts w:ascii="Times New Roman" w:hAnsi="Times New Roman" w:cs="Times New Roman"/>
          <w:sz w:val="24"/>
          <w:szCs w:val="24"/>
        </w:rPr>
      </w:pPr>
      <w:r w:rsidRPr="00F61A0E">
        <w:rPr>
          <w:rFonts w:ascii="Times New Roman" w:hAnsi="Times New Roman" w:cs="Times New Roman"/>
          <w:sz w:val="24"/>
          <w:szCs w:val="24"/>
        </w:rPr>
        <w:tab/>
        <w:t>•</w:t>
      </w:r>
      <w:r w:rsidRPr="00F61A0E">
        <w:rPr>
          <w:rFonts w:ascii="Times New Roman" w:hAnsi="Times New Roman" w:cs="Times New Roman"/>
          <w:sz w:val="24"/>
          <w:szCs w:val="24"/>
        </w:rPr>
        <w:tab/>
        <w:t>No patterns detected, supporting the absence of heteroskedasticity or misspecification.</w:t>
      </w:r>
    </w:p>
    <w:p w:rsidR="00836480" w:rsidRPr="00F61A0E" w:rsidRDefault="00836480" w:rsidP="00836480">
      <w:pPr>
        <w:rPr>
          <w:rFonts w:ascii="Times New Roman" w:hAnsi="Times New Roman" w:cs="Times New Roman"/>
          <w:color w:val="000000" w:themeColor="text1"/>
          <w:sz w:val="24"/>
          <w:szCs w:val="24"/>
        </w:rPr>
      </w:pPr>
    </w:p>
    <w:p w:rsidR="00BB1024" w:rsidRPr="00F61A0E" w:rsidRDefault="00243D89">
      <w:pPr>
        <w:rPr>
          <w:rFonts w:ascii="Times New Roman" w:hAnsi="Times New Roman" w:cs="Times New Roman"/>
          <w:sz w:val="24"/>
          <w:szCs w:val="24"/>
        </w:rPr>
      </w:pPr>
      <w:r w:rsidRPr="00F61A0E">
        <w:rPr>
          <w:rFonts w:ascii="Times New Roman" w:hAnsi="Times New Roman" w:cs="Times New Roman"/>
          <w:sz w:val="24"/>
          <w:szCs w:val="24"/>
        </w:rPr>
        <w:br w:type="page"/>
      </w:r>
    </w:p>
    <w:p w:rsidR="00BB1024" w:rsidRPr="00F61A0E" w:rsidRDefault="00243D89">
      <w:pPr>
        <w:spacing w:line="480" w:lineRule="auto"/>
        <w:ind w:firstLine="720"/>
        <w:jc w:val="center"/>
        <w:rPr>
          <w:rFonts w:ascii="Times New Roman" w:hAnsi="Times New Roman" w:cs="Times New Roman"/>
          <w:sz w:val="24"/>
          <w:szCs w:val="24"/>
        </w:rPr>
      </w:pPr>
      <w:r w:rsidRPr="00F61A0E">
        <w:rPr>
          <w:rFonts w:ascii="Times New Roman" w:hAnsi="Times New Roman" w:cs="Times New Roman"/>
          <w:b/>
          <w:sz w:val="24"/>
          <w:szCs w:val="24"/>
        </w:rPr>
        <w:lastRenderedPageBreak/>
        <w:t>References</w:t>
      </w:r>
    </w:p>
    <w:p w:rsidR="00BB1024" w:rsidRPr="00F61A0E" w:rsidRDefault="00243D89">
      <w:pPr>
        <w:spacing w:line="480" w:lineRule="auto"/>
        <w:ind w:left="720" w:hanging="720"/>
        <w:rPr>
          <w:rFonts w:ascii="Times New Roman" w:hAnsi="Times New Roman" w:cs="Times New Roman"/>
          <w:sz w:val="24"/>
          <w:szCs w:val="24"/>
        </w:rPr>
      </w:pPr>
      <w:r w:rsidRPr="00F61A0E">
        <w:rPr>
          <w:rFonts w:ascii="Times New Roman" w:hAnsi="Times New Roman" w:cs="Times New Roman"/>
          <w:color w:val="222222"/>
          <w:sz w:val="24"/>
          <w:szCs w:val="24"/>
          <w:shd w:val="clear" w:color="auto" w:fill="FFFFFF"/>
        </w:rPr>
        <w:t>Abada, F., &amp; Manasseh, C. (2020). Government expenditure, savings, FDI and economic growth: an impact analysis. </w:t>
      </w:r>
      <w:r w:rsidRPr="00F61A0E">
        <w:rPr>
          <w:rFonts w:ascii="Times New Roman" w:hAnsi="Times New Roman" w:cs="Times New Roman"/>
          <w:i/>
          <w:iCs/>
          <w:color w:val="222222"/>
          <w:sz w:val="24"/>
          <w:szCs w:val="24"/>
          <w:shd w:val="clear" w:color="auto" w:fill="FFFFFF"/>
        </w:rPr>
        <w:t>Journal of Investment and Management</w:t>
      </w:r>
      <w:r w:rsidRPr="00F61A0E">
        <w:rPr>
          <w:rFonts w:ascii="Times New Roman" w:hAnsi="Times New Roman" w:cs="Times New Roman"/>
          <w:color w:val="222222"/>
          <w:sz w:val="24"/>
          <w:szCs w:val="24"/>
          <w:shd w:val="clear" w:color="auto" w:fill="FFFFFF"/>
        </w:rPr>
        <w:t>, </w:t>
      </w:r>
      <w:r w:rsidRPr="00F61A0E">
        <w:rPr>
          <w:rFonts w:ascii="Times New Roman" w:hAnsi="Times New Roman" w:cs="Times New Roman"/>
          <w:i/>
          <w:iCs/>
          <w:color w:val="222222"/>
          <w:sz w:val="24"/>
          <w:szCs w:val="24"/>
          <w:shd w:val="clear" w:color="auto" w:fill="FFFFFF"/>
        </w:rPr>
        <w:t>9</w:t>
      </w:r>
      <w:r w:rsidRPr="00F61A0E">
        <w:rPr>
          <w:rFonts w:ascii="Times New Roman" w:hAnsi="Times New Roman" w:cs="Times New Roman"/>
          <w:color w:val="222222"/>
          <w:sz w:val="24"/>
          <w:szCs w:val="24"/>
          <w:shd w:val="clear" w:color="auto" w:fill="FFFFFF"/>
        </w:rPr>
        <w:t>(4), 92-99.</w:t>
      </w:r>
    </w:p>
    <w:p w:rsidR="00BB1024" w:rsidRPr="00F61A0E" w:rsidRDefault="00243D89">
      <w:pPr>
        <w:spacing w:line="480" w:lineRule="auto"/>
        <w:ind w:left="720" w:hanging="720"/>
        <w:rPr>
          <w:rFonts w:ascii="Times New Roman" w:hAnsi="Times New Roman" w:cs="Times New Roman"/>
          <w:sz w:val="24"/>
          <w:szCs w:val="24"/>
        </w:rPr>
      </w:pPr>
      <w:r w:rsidRPr="00F61A0E">
        <w:rPr>
          <w:rFonts w:ascii="Times New Roman" w:hAnsi="Times New Roman" w:cs="Times New Roman"/>
          <w:color w:val="222222"/>
          <w:sz w:val="24"/>
          <w:szCs w:val="24"/>
          <w:shd w:val="clear" w:color="auto" w:fill="FFFFFF"/>
        </w:rPr>
        <w:t>Lomachynska, I., Babenko, V., Yemets, O., Yakubovskiy, S., &amp; Hryhorian, R. (2020). Impact of the foreign direct investment inflow on the export growth of the visegrad group countries. </w:t>
      </w:r>
      <w:r w:rsidRPr="00F61A0E">
        <w:rPr>
          <w:rFonts w:ascii="Times New Roman" w:hAnsi="Times New Roman" w:cs="Times New Roman"/>
          <w:i/>
          <w:iCs/>
          <w:color w:val="222222"/>
          <w:sz w:val="24"/>
          <w:szCs w:val="24"/>
          <w:shd w:val="clear" w:color="auto" w:fill="FFFFFF"/>
        </w:rPr>
        <w:t>Studies of Applied Economics</w:t>
      </w:r>
      <w:r w:rsidRPr="00F61A0E">
        <w:rPr>
          <w:rFonts w:ascii="Times New Roman" w:hAnsi="Times New Roman" w:cs="Times New Roman"/>
          <w:color w:val="222222"/>
          <w:sz w:val="24"/>
          <w:szCs w:val="24"/>
          <w:shd w:val="clear" w:color="auto" w:fill="FFFFFF"/>
        </w:rPr>
        <w:t>, </w:t>
      </w:r>
      <w:r w:rsidRPr="00F61A0E">
        <w:rPr>
          <w:rFonts w:ascii="Times New Roman" w:hAnsi="Times New Roman" w:cs="Times New Roman"/>
          <w:i/>
          <w:iCs/>
          <w:color w:val="222222"/>
          <w:sz w:val="24"/>
          <w:szCs w:val="24"/>
          <w:shd w:val="clear" w:color="auto" w:fill="FFFFFF"/>
        </w:rPr>
        <w:t>38</w:t>
      </w:r>
      <w:r w:rsidRPr="00F61A0E">
        <w:rPr>
          <w:rFonts w:ascii="Times New Roman" w:hAnsi="Times New Roman" w:cs="Times New Roman"/>
          <w:color w:val="222222"/>
          <w:sz w:val="24"/>
          <w:szCs w:val="24"/>
          <w:shd w:val="clear" w:color="auto" w:fill="FFFFFF"/>
        </w:rPr>
        <w:t>(4).</w:t>
      </w:r>
    </w:p>
    <w:p w:rsidR="00BB1024" w:rsidRPr="00F61A0E" w:rsidRDefault="00243D89">
      <w:pPr>
        <w:spacing w:line="480" w:lineRule="auto"/>
        <w:ind w:left="720" w:hanging="720"/>
        <w:rPr>
          <w:rFonts w:ascii="Times New Roman" w:hAnsi="Times New Roman" w:cs="Times New Roman"/>
          <w:sz w:val="24"/>
          <w:szCs w:val="24"/>
        </w:rPr>
      </w:pPr>
      <w:r w:rsidRPr="00F61A0E">
        <w:rPr>
          <w:rFonts w:ascii="Times New Roman" w:hAnsi="Times New Roman" w:cs="Times New Roman"/>
          <w:color w:val="222222"/>
          <w:sz w:val="24"/>
          <w:szCs w:val="24"/>
          <w:shd w:val="clear" w:color="auto" w:fill="FFFFFF"/>
        </w:rPr>
        <w:t>Ridha, M. R., &amp; Parwanto, N. B. (2020). The effect of foreign direct investment, human development and macroeconomic condition on economic growth: Evidence from Indonesia. </w:t>
      </w:r>
      <w:r w:rsidRPr="00F61A0E">
        <w:rPr>
          <w:rFonts w:ascii="Times New Roman" w:hAnsi="Times New Roman" w:cs="Times New Roman"/>
          <w:i/>
          <w:iCs/>
          <w:color w:val="222222"/>
          <w:sz w:val="24"/>
          <w:szCs w:val="24"/>
          <w:shd w:val="clear" w:color="auto" w:fill="FFFFFF"/>
        </w:rPr>
        <w:t>Journal of Indonesian Applied Economics</w:t>
      </w:r>
      <w:r w:rsidRPr="00F61A0E">
        <w:rPr>
          <w:rFonts w:ascii="Times New Roman" w:hAnsi="Times New Roman" w:cs="Times New Roman"/>
          <w:color w:val="222222"/>
          <w:sz w:val="24"/>
          <w:szCs w:val="24"/>
          <w:shd w:val="clear" w:color="auto" w:fill="FFFFFF"/>
        </w:rPr>
        <w:t>, </w:t>
      </w:r>
      <w:r w:rsidRPr="00F61A0E">
        <w:rPr>
          <w:rFonts w:ascii="Times New Roman" w:hAnsi="Times New Roman" w:cs="Times New Roman"/>
          <w:i/>
          <w:iCs/>
          <w:color w:val="222222"/>
          <w:sz w:val="24"/>
          <w:szCs w:val="24"/>
          <w:shd w:val="clear" w:color="auto" w:fill="FFFFFF"/>
        </w:rPr>
        <w:t>8</w:t>
      </w:r>
      <w:r w:rsidRPr="00F61A0E">
        <w:rPr>
          <w:rFonts w:ascii="Times New Roman" w:hAnsi="Times New Roman" w:cs="Times New Roman"/>
          <w:color w:val="222222"/>
          <w:sz w:val="24"/>
          <w:szCs w:val="24"/>
          <w:shd w:val="clear" w:color="auto" w:fill="FFFFFF"/>
        </w:rPr>
        <w:t>(2), 46-54.</w:t>
      </w:r>
    </w:p>
    <w:p w:rsidR="00BB1024" w:rsidRPr="00F61A0E" w:rsidRDefault="00243D89">
      <w:pPr>
        <w:spacing w:line="480" w:lineRule="auto"/>
        <w:ind w:left="720" w:hanging="720"/>
        <w:rPr>
          <w:rFonts w:ascii="Times New Roman" w:hAnsi="Times New Roman" w:cs="Times New Roman"/>
          <w:sz w:val="24"/>
          <w:szCs w:val="24"/>
        </w:rPr>
      </w:pPr>
      <w:r w:rsidRPr="00F61A0E">
        <w:rPr>
          <w:rFonts w:ascii="Times New Roman" w:hAnsi="Times New Roman" w:cs="Times New Roman"/>
          <w:color w:val="222222"/>
          <w:sz w:val="24"/>
          <w:szCs w:val="24"/>
          <w:shd w:val="clear" w:color="auto" w:fill="FFFFFF"/>
        </w:rPr>
        <w:t>Khan, A., Chenggang, Y., Khan, G., &amp; Muhammad, F. (2020). The dilemma of natural disasters: Impact on economy, fiscal position, and foreign direct investment alongside Belt and Road Initiative countries. </w:t>
      </w:r>
      <w:r w:rsidRPr="00F61A0E">
        <w:rPr>
          <w:rFonts w:ascii="Times New Roman" w:hAnsi="Times New Roman" w:cs="Times New Roman"/>
          <w:i/>
          <w:iCs/>
          <w:color w:val="222222"/>
          <w:sz w:val="24"/>
          <w:szCs w:val="24"/>
          <w:shd w:val="clear" w:color="auto" w:fill="FFFFFF"/>
        </w:rPr>
        <w:t>Science of the Total Environment</w:t>
      </w:r>
      <w:r w:rsidRPr="00F61A0E">
        <w:rPr>
          <w:rFonts w:ascii="Times New Roman" w:hAnsi="Times New Roman" w:cs="Times New Roman"/>
          <w:color w:val="222222"/>
          <w:sz w:val="24"/>
          <w:szCs w:val="24"/>
          <w:shd w:val="clear" w:color="auto" w:fill="FFFFFF"/>
        </w:rPr>
        <w:t>, </w:t>
      </w:r>
      <w:r w:rsidRPr="00F61A0E">
        <w:rPr>
          <w:rFonts w:ascii="Times New Roman" w:hAnsi="Times New Roman" w:cs="Times New Roman"/>
          <w:i/>
          <w:iCs/>
          <w:color w:val="222222"/>
          <w:sz w:val="24"/>
          <w:szCs w:val="24"/>
          <w:shd w:val="clear" w:color="auto" w:fill="FFFFFF"/>
        </w:rPr>
        <w:t>743</w:t>
      </w:r>
      <w:r w:rsidRPr="00F61A0E">
        <w:rPr>
          <w:rFonts w:ascii="Times New Roman" w:hAnsi="Times New Roman" w:cs="Times New Roman"/>
          <w:color w:val="222222"/>
          <w:sz w:val="24"/>
          <w:szCs w:val="24"/>
          <w:shd w:val="clear" w:color="auto" w:fill="FFFFFF"/>
        </w:rPr>
        <w:t>, 140578.</w:t>
      </w:r>
    </w:p>
    <w:p w:rsidR="00BB1024" w:rsidRPr="00F61A0E" w:rsidRDefault="00243D89">
      <w:pPr>
        <w:spacing w:line="480" w:lineRule="auto"/>
        <w:ind w:left="720" w:hanging="720"/>
        <w:rPr>
          <w:rFonts w:ascii="Times New Roman" w:hAnsi="Times New Roman" w:cs="Times New Roman"/>
          <w:sz w:val="24"/>
          <w:szCs w:val="24"/>
        </w:rPr>
      </w:pPr>
      <w:r w:rsidRPr="00F61A0E">
        <w:rPr>
          <w:rFonts w:ascii="Times New Roman" w:hAnsi="Times New Roman" w:cs="Times New Roman"/>
          <w:color w:val="222222"/>
          <w:sz w:val="24"/>
          <w:szCs w:val="24"/>
          <w:shd w:val="clear" w:color="auto" w:fill="FFFFFF"/>
        </w:rPr>
        <w:t>Qehaja, D., Zeka, F., &amp; Hoti, A. (2022). The effect of foreign direct investments on trade balance in southeast Europe during the period 2000–2018. </w:t>
      </w:r>
      <w:r w:rsidRPr="00F61A0E">
        <w:rPr>
          <w:rFonts w:ascii="Times New Roman" w:hAnsi="Times New Roman" w:cs="Times New Roman"/>
          <w:i/>
          <w:iCs/>
          <w:color w:val="222222"/>
          <w:sz w:val="24"/>
          <w:szCs w:val="24"/>
          <w:shd w:val="clear" w:color="auto" w:fill="FFFFFF"/>
        </w:rPr>
        <w:t>International Journal of Applied Economics, Finance and Accounting</w:t>
      </w:r>
      <w:r w:rsidRPr="00F61A0E">
        <w:rPr>
          <w:rFonts w:ascii="Times New Roman" w:hAnsi="Times New Roman" w:cs="Times New Roman"/>
          <w:color w:val="222222"/>
          <w:sz w:val="24"/>
          <w:szCs w:val="24"/>
          <w:shd w:val="clear" w:color="auto" w:fill="FFFFFF"/>
        </w:rPr>
        <w:t>, </w:t>
      </w:r>
      <w:r w:rsidRPr="00F61A0E">
        <w:rPr>
          <w:rFonts w:ascii="Times New Roman" w:hAnsi="Times New Roman" w:cs="Times New Roman"/>
          <w:i/>
          <w:iCs/>
          <w:color w:val="222222"/>
          <w:sz w:val="24"/>
          <w:szCs w:val="24"/>
          <w:shd w:val="clear" w:color="auto" w:fill="FFFFFF"/>
        </w:rPr>
        <w:t>13</w:t>
      </w:r>
      <w:r w:rsidRPr="00F61A0E">
        <w:rPr>
          <w:rFonts w:ascii="Times New Roman" w:hAnsi="Times New Roman" w:cs="Times New Roman"/>
          <w:color w:val="222222"/>
          <w:sz w:val="24"/>
          <w:szCs w:val="24"/>
          <w:shd w:val="clear" w:color="auto" w:fill="FFFFFF"/>
        </w:rPr>
        <w:t>(1), 29-39.</w:t>
      </w:r>
    </w:p>
    <w:p w:rsidR="00BB1024" w:rsidRPr="00F61A0E" w:rsidRDefault="00243D89">
      <w:pPr>
        <w:spacing w:line="480" w:lineRule="auto"/>
        <w:ind w:left="720" w:hanging="720"/>
        <w:rPr>
          <w:rFonts w:ascii="Times New Roman" w:hAnsi="Times New Roman" w:cs="Times New Roman"/>
          <w:sz w:val="24"/>
          <w:szCs w:val="24"/>
        </w:rPr>
      </w:pPr>
      <w:r w:rsidRPr="00F61A0E">
        <w:rPr>
          <w:rFonts w:ascii="Times New Roman" w:hAnsi="Times New Roman" w:cs="Times New Roman"/>
          <w:color w:val="222222"/>
          <w:sz w:val="24"/>
          <w:szCs w:val="24"/>
          <w:shd w:val="clear" w:color="auto" w:fill="FFFFFF"/>
        </w:rPr>
        <w:t>Dhungel, B. D. (2019). Contribution of Foreign Direct Investment to Trade Balance. </w:t>
      </w:r>
      <w:r w:rsidRPr="00F61A0E">
        <w:rPr>
          <w:rFonts w:ascii="Times New Roman" w:hAnsi="Times New Roman" w:cs="Times New Roman"/>
          <w:i/>
          <w:iCs/>
          <w:color w:val="222222"/>
          <w:sz w:val="24"/>
          <w:szCs w:val="24"/>
          <w:shd w:val="clear" w:color="auto" w:fill="FFFFFF"/>
        </w:rPr>
        <w:t>Economic Review of Nepal</w:t>
      </w:r>
      <w:r w:rsidRPr="00F61A0E">
        <w:rPr>
          <w:rFonts w:ascii="Times New Roman" w:hAnsi="Times New Roman" w:cs="Times New Roman"/>
          <w:color w:val="222222"/>
          <w:sz w:val="24"/>
          <w:szCs w:val="24"/>
          <w:shd w:val="clear" w:color="auto" w:fill="FFFFFF"/>
        </w:rPr>
        <w:t>, </w:t>
      </w:r>
      <w:r w:rsidRPr="00F61A0E">
        <w:rPr>
          <w:rFonts w:ascii="Times New Roman" w:hAnsi="Times New Roman" w:cs="Times New Roman"/>
          <w:i/>
          <w:iCs/>
          <w:color w:val="222222"/>
          <w:sz w:val="24"/>
          <w:szCs w:val="24"/>
          <w:shd w:val="clear" w:color="auto" w:fill="FFFFFF"/>
        </w:rPr>
        <w:t>2</w:t>
      </w:r>
      <w:r w:rsidRPr="00F61A0E">
        <w:rPr>
          <w:rFonts w:ascii="Times New Roman" w:hAnsi="Times New Roman" w:cs="Times New Roman"/>
          <w:color w:val="222222"/>
          <w:sz w:val="24"/>
          <w:szCs w:val="24"/>
          <w:shd w:val="clear" w:color="auto" w:fill="FFFFFF"/>
        </w:rPr>
        <w:t>(1), 30-38.</w:t>
      </w:r>
    </w:p>
    <w:p w:rsidR="00BB1024" w:rsidRPr="00F61A0E" w:rsidRDefault="00243D89">
      <w:pPr>
        <w:spacing w:line="480" w:lineRule="auto"/>
        <w:ind w:left="720" w:hanging="720"/>
        <w:rPr>
          <w:rFonts w:ascii="Times New Roman" w:hAnsi="Times New Roman" w:cs="Times New Roman"/>
          <w:sz w:val="24"/>
          <w:szCs w:val="24"/>
        </w:rPr>
      </w:pPr>
      <w:r w:rsidRPr="00F61A0E">
        <w:rPr>
          <w:rFonts w:ascii="Times New Roman" w:hAnsi="Times New Roman" w:cs="Times New Roman"/>
          <w:color w:val="222222"/>
          <w:sz w:val="24"/>
          <w:szCs w:val="24"/>
          <w:shd w:val="clear" w:color="auto" w:fill="FFFFFF"/>
        </w:rPr>
        <w:t>Sujianto, A. E., &amp; Azmi, M. F. U. (2020). Associative study on government spending, inflation, trade balance, and gross domestic product. </w:t>
      </w:r>
      <w:r w:rsidRPr="00F61A0E">
        <w:rPr>
          <w:rFonts w:ascii="Times New Roman" w:hAnsi="Times New Roman" w:cs="Times New Roman"/>
          <w:i/>
          <w:iCs/>
          <w:color w:val="222222"/>
          <w:sz w:val="24"/>
          <w:szCs w:val="24"/>
          <w:shd w:val="clear" w:color="auto" w:fill="FFFFFF"/>
        </w:rPr>
        <w:t>Ekuilibrium: Jurnal Ilmiah Bidang Ilmu Ekonomi</w:t>
      </w:r>
      <w:r w:rsidRPr="00F61A0E">
        <w:rPr>
          <w:rFonts w:ascii="Times New Roman" w:hAnsi="Times New Roman" w:cs="Times New Roman"/>
          <w:color w:val="222222"/>
          <w:sz w:val="24"/>
          <w:szCs w:val="24"/>
          <w:shd w:val="clear" w:color="auto" w:fill="FFFFFF"/>
        </w:rPr>
        <w:t>, </w:t>
      </w:r>
      <w:r w:rsidRPr="00F61A0E">
        <w:rPr>
          <w:rFonts w:ascii="Times New Roman" w:hAnsi="Times New Roman" w:cs="Times New Roman"/>
          <w:i/>
          <w:iCs/>
          <w:color w:val="222222"/>
          <w:sz w:val="24"/>
          <w:szCs w:val="24"/>
          <w:shd w:val="clear" w:color="auto" w:fill="FFFFFF"/>
        </w:rPr>
        <w:t>15</w:t>
      </w:r>
      <w:r w:rsidRPr="00F61A0E">
        <w:rPr>
          <w:rFonts w:ascii="Times New Roman" w:hAnsi="Times New Roman" w:cs="Times New Roman"/>
          <w:color w:val="222222"/>
          <w:sz w:val="24"/>
          <w:szCs w:val="24"/>
          <w:shd w:val="clear" w:color="auto" w:fill="FFFFFF"/>
        </w:rPr>
        <w:t>(1), 27-37.</w:t>
      </w:r>
    </w:p>
    <w:p w:rsidR="00BB1024" w:rsidRPr="00F61A0E" w:rsidRDefault="00243D89">
      <w:pPr>
        <w:spacing w:line="480" w:lineRule="auto"/>
        <w:ind w:left="720" w:hanging="720"/>
        <w:rPr>
          <w:rFonts w:ascii="Times New Roman" w:hAnsi="Times New Roman" w:cs="Times New Roman"/>
          <w:color w:val="222222"/>
          <w:sz w:val="24"/>
          <w:szCs w:val="24"/>
          <w:shd w:val="clear" w:color="auto" w:fill="FFFFFF"/>
        </w:rPr>
      </w:pPr>
      <w:r w:rsidRPr="00F61A0E">
        <w:rPr>
          <w:rFonts w:ascii="Times New Roman" w:hAnsi="Times New Roman" w:cs="Times New Roman"/>
          <w:color w:val="222222"/>
          <w:sz w:val="24"/>
          <w:szCs w:val="24"/>
          <w:shd w:val="clear" w:color="auto" w:fill="FFFFFF"/>
        </w:rPr>
        <w:lastRenderedPageBreak/>
        <w:t>Leiderman, L., &amp; Razin, A. (1991). Determinants of external imbalances: The role of taxes, government spending, and productivity. </w:t>
      </w:r>
      <w:r w:rsidRPr="00F61A0E">
        <w:rPr>
          <w:rFonts w:ascii="Times New Roman" w:hAnsi="Times New Roman" w:cs="Times New Roman"/>
          <w:i/>
          <w:iCs/>
          <w:color w:val="222222"/>
          <w:sz w:val="24"/>
          <w:szCs w:val="24"/>
          <w:shd w:val="clear" w:color="auto" w:fill="FFFFFF"/>
        </w:rPr>
        <w:t>Journal of the Japanese and International Economies</w:t>
      </w:r>
      <w:r w:rsidRPr="00F61A0E">
        <w:rPr>
          <w:rFonts w:ascii="Times New Roman" w:hAnsi="Times New Roman" w:cs="Times New Roman"/>
          <w:color w:val="222222"/>
          <w:sz w:val="24"/>
          <w:szCs w:val="24"/>
          <w:shd w:val="clear" w:color="auto" w:fill="FFFFFF"/>
        </w:rPr>
        <w:t>, </w:t>
      </w:r>
      <w:r w:rsidRPr="00F61A0E">
        <w:rPr>
          <w:rFonts w:ascii="Times New Roman" w:hAnsi="Times New Roman" w:cs="Times New Roman"/>
          <w:i/>
          <w:iCs/>
          <w:color w:val="222222"/>
          <w:sz w:val="24"/>
          <w:szCs w:val="24"/>
          <w:shd w:val="clear" w:color="auto" w:fill="FFFFFF"/>
        </w:rPr>
        <w:t>5</w:t>
      </w:r>
      <w:r w:rsidRPr="00F61A0E">
        <w:rPr>
          <w:rFonts w:ascii="Times New Roman" w:hAnsi="Times New Roman" w:cs="Times New Roman"/>
          <w:color w:val="222222"/>
          <w:sz w:val="24"/>
          <w:szCs w:val="24"/>
          <w:shd w:val="clear" w:color="auto" w:fill="FFFFFF"/>
        </w:rPr>
        <w:t>(4), 421-450.</w:t>
      </w:r>
    </w:p>
    <w:p w:rsidR="001B366A" w:rsidRDefault="00A05088">
      <w:pPr>
        <w:spacing w:line="480" w:lineRule="auto"/>
        <w:ind w:left="720" w:hanging="720"/>
        <w:rPr>
          <w:rStyle w:val="Hyperlink"/>
          <w:rFonts w:ascii="Times New Roman" w:hAnsi="Times New Roman" w:cs="Times New Roman"/>
          <w:sz w:val="24"/>
          <w:szCs w:val="24"/>
        </w:rPr>
      </w:pPr>
      <w:r w:rsidRPr="00F61A0E">
        <w:rPr>
          <w:rFonts w:ascii="Times New Roman" w:hAnsi="Times New Roman" w:cs="Times New Roman"/>
          <w:sz w:val="24"/>
          <w:szCs w:val="24"/>
        </w:rPr>
        <w:t xml:space="preserve">World Bank. (2024). </w:t>
      </w:r>
      <w:r w:rsidRPr="00F61A0E">
        <w:rPr>
          <w:rStyle w:val="Emphasis"/>
          <w:rFonts w:ascii="Times New Roman" w:hAnsi="Times New Roman" w:cs="Times New Roman"/>
          <w:sz w:val="24"/>
          <w:szCs w:val="24"/>
        </w:rPr>
        <w:t>World Development Indicators</w:t>
      </w:r>
      <w:r w:rsidRPr="00F61A0E">
        <w:rPr>
          <w:rFonts w:ascii="Times New Roman" w:hAnsi="Times New Roman" w:cs="Times New Roman"/>
          <w:sz w:val="24"/>
          <w:szCs w:val="24"/>
        </w:rPr>
        <w:t xml:space="preserve">. World Bank. </w:t>
      </w:r>
      <w:hyperlink r:id="rId19" w:tgtFrame="_new" w:history="1">
        <w:r w:rsidRPr="00F61A0E">
          <w:rPr>
            <w:rStyle w:val="Hyperlink"/>
            <w:rFonts w:ascii="Times New Roman" w:hAnsi="Times New Roman" w:cs="Times New Roman"/>
            <w:sz w:val="24"/>
            <w:szCs w:val="24"/>
          </w:rPr>
          <w:t>https://data.worldbank.org/</w:t>
        </w:r>
      </w:hyperlink>
    </w:p>
    <w:p w:rsidR="00801700" w:rsidRPr="00551086" w:rsidRDefault="00801700" w:rsidP="00801700">
      <w:pPr>
        <w:spacing w:line="480" w:lineRule="auto"/>
        <w:ind w:left="720" w:hanging="720"/>
        <w:rPr>
          <w:rFonts w:ascii="Times New Roman" w:hAnsi="Times New Roman" w:cs="Times New Roman"/>
          <w:color w:val="222222"/>
          <w:sz w:val="24"/>
          <w:szCs w:val="24"/>
          <w:shd w:val="clear" w:color="auto" w:fill="FFFFFF"/>
        </w:rPr>
      </w:pPr>
      <w:r w:rsidRPr="00551086">
        <w:rPr>
          <w:rFonts w:ascii="Times New Roman" w:hAnsi="Times New Roman" w:cs="Times New Roman"/>
          <w:color w:val="222222"/>
          <w:sz w:val="24"/>
          <w:szCs w:val="24"/>
          <w:shd w:val="clear" w:color="auto" w:fill="FFFFFF"/>
        </w:rPr>
        <w:t>Foster, V., Rana, A., &amp; Gorgulu, N. (2022). Understanding Public Spending Trends for Infrastructure in Developing Countries. </w:t>
      </w:r>
      <w:r w:rsidRPr="00551086">
        <w:rPr>
          <w:rFonts w:ascii="Times New Roman" w:hAnsi="Times New Roman" w:cs="Times New Roman"/>
          <w:i/>
          <w:iCs/>
          <w:color w:val="222222"/>
          <w:sz w:val="24"/>
          <w:szCs w:val="24"/>
          <w:shd w:val="clear" w:color="auto" w:fill="FFFFFF"/>
        </w:rPr>
        <w:t>Policy Research Working Paper</w:t>
      </w:r>
      <w:r w:rsidRPr="00551086">
        <w:rPr>
          <w:rFonts w:ascii="Times New Roman" w:hAnsi="Times New Roman" w:cs="Times New Roman"/>
          <w:color w:val="222222"/>
          <w:sz w:val="24"/>
          <w:szCs w:val="24"/>
          <w:shd w:val="clear" w:color="auto" w:fill="FFFFFF"/>
        </w:rPr>
        <w:t>, </w:t>
      </w:r>
      <w:r w:rsidRPr="00551086">
        <w:rPr>
          <w:rFonts w:ascii="Times New Roman" w:hAnsi="Times New Roman" w:cs="Times New Roman"/>
          <w:i/>
          <w:iCs/>
          <w:color w:val="222222"/>
          <w:sz w:val="24"/>
          <w:szCs w:val="24"/>
          <w:shd w:val="clear" w:color="auto" w:fill="FFFFFF"/>
        </w:rPr>
        <w:t>9903</w:t>
      </w:r>
      <w:r w:rsidRPr="00551086">
        <w:rPr>
          <w:rFonts w:ascii="Times New Roman" w:hAnsi="Times New Roman" w:cs="Times New Roman"/>
          <w:color w:val="222222"/>
          <w:sz w:val="24"/>
          <w:szCs w:val="24"/>
          <w:shd w:val="clear" w:color="auto" w:fill="FFFFFF"/>
        </w:rPr>
        <w:t>.</w:t>
      </w:r>
    </w:p>
    <w:p w:rsidR="00801700" w:rsidRPr="00551086" w:rsidRDefault="00801700" w:rsidP="00801700">
      <w:pPr>
        <w:spacing w:line="480" w:lineRule="auto"/>
        <w:ind w:left="720" w:hanging="720"/>
        <w:rPr>
          <w:rFonts w:ascii="Times New Roman" w:hAnsi="Times New Roman" w:cs="Times New Roman"/>
          <w:color w:val="222222"/>
          <w:sz w:val="24"/>
          <w:szCs w:val="24"/>
          <w:shd w:val="clear" w:color="auto" w:fill="FFFFFF"/>
        </w:rPr>
      </w:pPr>
      <w:r w:rsidRPr="00551086">
        <w:rPr>
          <w:rFonts w:ascii="Times New Roman" w:hAnsi="Times New Roman" w:cs="Times New Roman"/>
          <w:color w:val="222222"/>
          <w:sz w:val="24"/>
          <w:szCs w:val="24"/>
          <w:shd w:val="clear" w:color="auto" w:fill="FFFFFF"/>
        </w:rPr>
        <w:t>Setterfield, M. (2021). Economic growth and development. </w:t>
      </w:r>
      <w:r w:rsidRPr="00551086">
        <w:rPr>
          <w:rFonts w:ascii="Times New Roman" w:hAnsi="Times New Roman" w:cs="Times New Roman"/>
          <w:i/>
          <w:iCs/>
          <w:color w:val="222222"/>
          <w:sz w:val="24"/>
          <w:szCs w:val="24"/>
          <w:shd w:val="clear" w:color="auto" w:fill="FFFFFF"/>
        </w:rPr>
        <w:t>An Introduction to Macroeconomics: A Heterodox Approach to Economic Analysis. Cheltenham, Reino Unido: Edward Elgar Publishing</w:t>
      </w:r>
      <w:r w:rsidRPr="00551086">
        <w:rPr>
          <w:rFonts w:ascii="Times New Roman" w:hAnsi="Times New Roman" w:cs="Times New Roman"/>
          <w:color w:val="222222"/>
          <w:sz w:val="24"/>
          <w:szCs w:val="24"/>
          <w:shd w:val="clear" w:color="auto" w:fill="FFFFFF"/>
        </w:rPr>
        <w:t>.</w:t>
      </w:r>
    </w:p>
    <w:p w:rsidR="00801700" w:rsidRPr="00551086" w:rsidRDefault="00801700" w:rsidP="00801700">
      <w:pPr>
        <w:spacing w:line="480" w:lineRule="auto"/>
        <w:ind w:left="720" w:hanging="720"/>
        <w:rPr>
          <w:rFonts w:ascii="Times New Roman" w:hAnsi="Times New Roman" w:cs="Times New Roman"/>
          <w:color w:val="222222"/>
          <w:sz w:val="24"/>
          <w:szCs w:val="24"/>
          <w:shd w:val="clear" w:color="auto" w:fill="FFFFFF"/>
        </w:rPr>
      </w:pPr>
      <w:r w:rsidRPr="00551086">
        <w:rPr>
          <w:rFonts w:ascii="Times New Roman" w:hAnsi="Times New Roman" w:cs="Times New Roman"/>
          <w:color w:val="222222"/>
          <w:sz w:val="24"/>
          <w:szCs w:val="24"/>
          <w:shd w:val="clear" w:color="auto" w:fill="FFFFFF"/>
        </w:rPr>
        <w:t>Epor, S. O., Yua, H., &amp; Terhemba Iorember, P. (2024). Foreign direct investment and economic growth in developing countries: The role of international trade and foreign debt. </w:t>
      </w:r>
      <w:r w:rsidRPr="00551086">
        <w:rPr>
          <w:rFonts w:ascii="Times New Roman" w:hAnsi="Times New Roman" w:cs="Times New Roman"/>
          <w:i/>
          <w:iCs/>
          <w:color w:val="222222"/>
          <w:sz w:val="24"/>
          <w:szCs w:val="24"/>
          <w:shd w:val="clear" w:color="auto" w:fill="FFFFFF"/>
        </w:rPr>
        <w:t>Modern Finance</w:t>
      </w:r>
      <w:r w:rsidRPr="00551086">
        <w:rPr>
          <w:rFonts w:ascii="Times New Roman" w:hAnsi="Times New Roman" w:cs="Times New Roman"/>
          <w:color w:val="222222"/>
          <w:sz w:val="24"/>
          <w:szCs w:val="24"/>
          <w:shd w:val="clear" w:color="auto" w:fill="FFFFFF"/>
        </w:rPr>
        <w:t>, </w:t>
      </w:r>
      <w:r w:rsidRPr="00551086">
        <w:rPr>
          <w:rFonts w:ascii="Times New Roman" w:hAnsi="Times New Roman" w:cs="Times New Roman"/>
          <w:i/>
          <w:iCs/>
          <w:color w:val="222222"/>
          <w:sz w:val="24"/>
          <w:szCs w:val="24"/>
          <w:shd w:val="clear" w:color="auto" w:fill="FFFFFF"/>
        </w:rPr>
        <w:t>2</w:t>
      </w:r>
      <w:r w:rsidRPr="00551086">
        <w:rPr>
          <w:rFonts w:ascii="Times New Roman" w:hAnsi="Times New Roman" w:cs="Times New Roman"/>
          <w:color w:val="222222"/>
          <w:sz w:val="24"/>
          <w:szCs w:val="24"/>
          <w:shd w:val="clear" w:color="auto" w:fill="FFFFFF"/>
        </w:rPr>
        <w:t>(1), 1-17.</w:t>
      </w:r>
    </w:p>
    <w:p w:rsidR="00801700" w:rsidRPr="00551086" w:rsidRDefault="00801700" w:rsidP="00801700">
      <w:pPr>
        <w:spacing w:line="480" w:lineRule="auto"/>
        <w:ind w:left="720" w:hanging="720"/>
        <w:rPr>
          <w:rFonts w:ascii="Times New Roman" w:hAnsi="Times New Roman" w:cs="Times New Roman"/>
          <w:color w:val="222222"/>
          <w:sz w:val="24"/>
          <w:szCs w:val="24"/>
          <w:shd w:val="clear" w:color="auto" w:fill="FFFFFF"/>
        </w:rPr>
      </w:pPr>
      <w:r w:rsidRPr="00551086">
        <w:rPr>
          <w:rFonts w:ascii="Times New Roman" w:hAnsi="Times New Roman" w:cs="Times New Roman"/>
          <w:color w:val="222222"/>
          <w:sz w:val="24"/>
          <w:szCs w:val="24"/>
          <w:shd w:val="clear" w:color="auto" w:fill="FFFFFF"/>
        </w:rPr>
        <w:t>Emako, E., Nuru, S., &amp; Menza, M. (2022). The effect of foreign direct investment on economic growth in developing countries. </w:t>
      </w:r>
      <w:r w:rsidRPr="00551086">
        <w:rPr>
          <w:rFonts w:ascii="Times New Roman" w:hAnsi="Times New Roman" w:cs="Times New Roman"/>
          <w:i/>
          <w:iCs/>
          <w:color w:val="222222"/>
          <w:sz w:val="24"/>
          <w:szCs w:val="24"/>
          <w:shd w:val="clear" w:color="auto" w:fill="FFFFFF"/>
        </w:rPr>
        <w:t>Transnational Corporations Review</w:t>
      </w:r>
      <w:r w:rsidRPr="00551086">
        <w:rPr>
          <w:rFonts w:ascii="Times New Roman" w:hAnsi="Times New Roman" w:cs="Times New Roman"/>
          <w:color w:val="222222"/>
          <w:sz w:val="24"/>
          <w:szCs w:val="24"/>
          <w:shd w:val="clear" w:color="auto" w:fill="FFFFFF"/>
        </w:rPr>
        <w:t>, </w:t>
      </w:r>
      <w:r w:rsidRPr="00551086">
        <w:rPr>
          <w:rFonts w:ascii="Times New Roman" w:hAnsi="Times New Roman" w:cs="Times New Roman"/>
          <w:i/>
          <w:iCs/>
          <w:color w:val="222222"/>
          <w:sz w:val="24"/>
          <w:szCs w:val="24"/>
          <w:shd w:val="clear" w:color="auto" w:fill="FFFFFF"/>
        </w:rPr>
        <w:t>14</w:t>
      </w:r>
      <w:r w:rsidRPr="00551086">
        <w:rPr>
          <w:rFonts w:ascii="Times New Roman" w:hAnsi="Times New Roman" w:cs="Times New Roman"/>
          <w:color w:val="222222"/>
          <w:sz w:val="24"/>
          <w:szCs w:val="24"/>
          <w:shd w:val="clear" w:color="auto" w:fill="FFFFFF"/>
        </w:rPr>
        <w:t>(4), 382-401.</w:t>
      </w:r>
    </w:p>
    <w:p w:rsidR="00801700" w:rsidRPr="00551086" w:rsidRDefault="00801700" w:rsidP="00801700">
      <w:pPr>
        <w:spacing w:line="480" w:lineRule="auto"/>
        <w:ind w:left="720" w:hanging="720"/>
        <w:rPr>
          <w:rFonts w:ascii="Times New Roman" w:hAnsi="Times New Roman" w:cs="Times New Roman"/>
          <w:color w:val="222222"/>
          <w:sz w:val="24"/>
          <w:szCs w:val="24"/>
          <w:shd w:val="clear" w:color="auto" w:fill="FFFFFF"/>
        </w:rPr>
      </w:pPr>
      <w:r w:rsidRPr="00551086">
        <w:rPr>
          <w:rFonts w:ascii="Times New Roman" w:hAnsi="Times New Roman" w:cs="Times New Roman"/>
          <w:color w:val="222222"/>
          <w:sz w:val="24"/>
          <w:szCs w:val="24"/>
          <w:shd w:val="clear" w:color="auto" w:fill="FFFFFF"/>
        </w:rPr>
        <w:t>Teunen, C. J. (2022). </w:t>
      </w:r>
      <w:r w:rsidRPr="00551086">
        <w:rPr>
          <w:rFonts w:ascii="Times New Roman" w:hAnsi="Times New Roman" w:cs="Times New Roman"/>
          <w:i/>
          <w:iCs/>
          <w:color w:val="222222"/>
          <w:sz w:val="24"/>
          <w:szCs w:val="24"/>
          <w:shd w:val="clear" w:color="auto" w:fill="FFFFFF"/>
        </w:rPr>
        <w:t>An analysis of the contribution of foreign direct investment to economic growth in South Africa</w:t>
      </w:r>
      <w:r w:rsidRPr="00551086">
        <w:rPr>
          <w:rFonts w:ascii="Times New Roman" w:hAnsi="Times New Roman" w:cs="Times New Roman"/>
          <w:color w:val="222222"/>
          <w:sz w:val="24"/>
          <w:szCs w:val="24"/>
          <w:shd w:val="clear" w:color="auto" w:fill="FFFFFF"/>
        </w:rPr>
        <w:t> (Doctoral dissertation, North-West University (South Africa)).</w:t>
      </w:r>
    </w:p>
    <w:p w:rsidR="00801700" w:rsidRPr="00551086" w:rsidRDefault="00801700" w:rsidP="00801700">
      <w:pPr>
        <w:spacing w:line="480" w:lineRule="auto"/>
        <w:ind w:left="720" w:hanging="720"/>
        <w:rPr>
          <w:rFonts w:ascii="Times New Roman" w:hAnsi="Times New Roman" w:cs="Times New Roman"/>
          <w:color w:val="222222"/>
          <w:sz w:val="24"/>
          <w:szCs w:val="24"/>
          <w:shd w:val="clear" w:color="auto" w:fill="FFFFFF"/>
        </w:rPr>
      </w:pPr>
      <w:r w:rsidRPr="00551086">
        <w:rPr>
          <w:rFonts w:ascii="Times New Roman" w:hAnsi="Times New Roman" w:cs="Times New Roman"/>
          <w:color w:val="222222"/>
          <w:sz w:val="24"/>
          <w:szCs w:val="24"/>
          <w:shd w:val="clear" w:color="auto" w:fill="FFFFFF"/>
        </w:rPr>
        <w:t>Zhang, D., Mohsin, M., Rasheed, A. K., Chang, Y., &amp; Taghizadeh-Hesary, F. (2021). Public spending and green economic growth in BRI region: mediating role of green finance. </w:t>
      </w:r>
      <w:r w:rsidRPr="00551086">
        <w:rPr>
          <w:rFonts w:ascii="Times New Roman" w:hAnsi="Times New Roman" w:cs="Times New Roman"/>
          <w:i/>
          <w:iCs/>
          <w:color w:val="222222"/>
          <w:sz w:val="24"/>
          <w:szCs w:val="24"/>
          <w:shd w:val="clear" w:color="auto" w:fill="FFFFFF"/>
        </w:rPr>
        <w:t>Energy Policy</w:t>
      </w:r>
      <w:r w:rsidRPr="00551086">
        <w:rPr>
          <w:rFonts w:ascii="Times New Roman" w:hAnsi="Times New Roman" w:cs="Times New Roman"/>
          <w:color w:val="222222"/>
          <w:sz w:val="24"/>
          <w:szCs w:val="24"/>
          <w:shd w:val="clear" w:color="auto" w:fill="FFFFFF"/>
        </w:rPr>
        <w:t>, </w:t>
      </w:r>
      <w:r w:rsidRPr="00551086">
        <w:rPr>
          <w:rFonts w:ascii="Times New Roman" w:hAnsi="Times New Roman" w:cs="Times New Roman"/>
          <w:i/>
          <w:iCs/>
          <w:color w:val="222222"/>
          <w:sz w:val="24"/>
          <w:szCs w:val="24"/>
          <w:shd w:val="clear" w:color="auto" w:fill="FFFFFF"/>
        </w:rPr>
        <w:t>153</w:t>
      </w:r>
      <w:r w:rsidRPr="00551086">
        <w:rPr>
          <w:rFonts w:ascii="Times New Roman" w:hAnsi="Times New Roman" w:cs="Times New Roman"/>
          <w:color w:val="222222"/>
          <w:sz w:val="24"/>
          <w:szCs w:val="24"/>
          <w:shd w:val="clear" w:color="auto" w:fill="FFFFFF"/>
        </w:rPr>
        <w:t>, 112256.</w:t>
      </w:r>
    </w:p>
    <w:p w:rsidR="00801700" w:rsidRPr="00551086" w:rsidRDefault="00801700" w:rsidP="00801700">
      <w:pPr>
        <w:spacing w:line="480" w:lineRule="auto"/>
        <w:ind w:left="720" w:hanging="720"/>
        <w:rPr>
          <w:rFonts w:ascii="Times New Roman" w:hAnsi="Times New Roman" w:cs="Times New Roman"/>
          <w:color w:val="222222"/>
          <w:sz w:val="24"/>
          <w:szCs w:val="24"/>
          <w:shd w:val="clear" w:color="auto" w:fill="FFFFFF"/>
        </w:rPr>
      </w:pPr>
      <w:r w:rsidRPr="00551086">
        <w:rPr>
          <w:rFonts w:ascii="Times New Roman" w:hAnsi="Times New Roman" w:cs="Times New Roman"/>
          <w:color w:val="222222"/>
          <w:sz w:val="24"/>
          <w:szCs w:val="24"/>
          <w:shd w:val="clear" w:color="auto" w:fill="FFFFFF"/>
        </w:rPr>
        <w:t xml:space="preserve">AL-MUTAIRI, A. B. D. U. L. L. A. H., NASER, D., NASER, H., &amp; NASER, K. (2024). The Effect of Foreign Direct Investment (FDI), Remittances, Inflation, Education, Trade and </w:t>
      </w:r>
      <w:r w:rsidRPr="00551086">
        <w:rPr>
          <w:rFonts w:ascii="Times New Roman" w:hAnsi="Times New Roman" w:cs="Times New Roman"/>
          <w:color w:val="222222"/>
          <w:sz w:val="24"/>
          <w:szCs w:val="24"/>
          <w:shd w:val="clear" w:color="auto" w:fill="FFFFFF"/>
        </w:rPr>
        <w:lastRenderedPageBreak/>
        <w:t>Unemployment on the Palestinian Economic Growth. </w:t>
      </w:r>
      <w:r w:rsidRPr="00551086">
        <w:rPr>
          <w:rFonts w:ascii="Times New Roman" w:hAnsi="Times New Roman" w:cs="Times New Roman"/>
          <w:i/>
          <w:iCs/>
          <w:color w:val="222222"/>
          <w:sz w:val="24"/>
          <w:szCs w:val="24"/>
          <w:shd w:val="clear" w:color="auto" w:fill="FFFFFF"/>
        </w:rPr>
        <w:t>ELIT–Economic Laboratory for Transition Research</w:t>
      </w:r>
      <w:r w:rsidRPr="00551086">
        <w:rPr>
          <w:rFonts w:ascii="Times New Roman" w:hAnsi="Times New Roman" w:cs="Times New Roman"/>
          <w:color w:val="222222"/>
          <w:sz w:val="24"/>
          <w:szCs w:val="24"/>
          <w:shd w:val="clear" w:color="auto" w:fill="FFFFFF"/>
        </w:rPr>
        <w:t>, </w:t>
      </w:r>
      <w:r w:rsidRPr="00551086">
        <w:rPr>
          <w:rFonts w:ascii="Times New Roman" w:hAnsi="Times New Roman" w:cs="Times New Roman"/>
          <w:i/>
          <w:iCs/>
          <w:color w:val="222222"/>
          <w:sz w:val="24"/>
          <w:szCs w:val="24"/>
          <w:shd w:val="clear" w:color="auto" w:fill="FFFFFF"/>
        </w:rPr>
        <w:t>20</w:t>
      </w:r>
      <w:r w:rsidRPr="00551086">
        <w:rPr>
          <w:rFonts w:ascii="Times New Roman" w:hAnsi="Times New Roman" w:cs="Times New Roman"/>
          <w:color w:val="222222"/>
          <w:sz w:val="24"/>
          <w:szCs w:val="24"/>
          <w:shd w:val="clear" w:color="auto" w:fill="FFFFFF"/>
        </w:rPr>
        <w:t>(3), 177.</w:t>
      </w:r>
    </w:p>
    <w:p w:rsidR="00801700" w:rsidRPr="00551086" w:rsidRDefault="00801700" w:rsidP="00801700">
      <w:pPr>
        <w:spacing w:line="480" w:lineRule="auto"/>
        <w:ind w:left="720" w:hanging="720"/>
        <w:rPr>
          <w:rFonts w:ascii="Times New Roman" w:hAnsi="Times New Roman" w:cs="Times New Roman"/>
          <w:color w:val="222222"/>
          <w:sz w:val="24"/>
          <w:szCs w:val="24"/>
          <w:shd w:val="clear" w:color="auto" w:fill="FFFFFF"/>
        </w:rPr>
      </w:pPr>
      <w:r w:rsidRPr="00551086">
        <w:rPr>
          <w:rFonts w:ascii="Times New Roman" w:hAnsi="Times New Roman" w:cs="Times New Roman"/>
          <w:color w:val="222222"/>
          <w:sz w:val="24"/>
          <w:szCs w:val="24"/>
          <w:shd w:val="clear" w:color="auto" w:fill="FFFFFF"/>
        </w:rPr>
        <w:t>Islam, A. M., &amp; Lederman, D. (2024). Data transparency and growth in developing economies during and after the global financial crisis. </w:t>
      </w:r>
      <w:r w:rsidRPr="00551086">
        <w:rPr>
          <w:rFonts w:ascii="Times New Roman" w:hAnsi="Times New Roman" w:cs="Times New Roman"/>
          <w:i/>
          <w:iCs/>
          <w:color w:val="222222"/>
          <w:sz w:val="24"/>
          <w:szCs w:val="24"/>
          <w:shd w:val="clear" w:color="auto" w:fill="FFFFFF"/>
        </w:rPr>
        <w:t>Kyklos</w:t>
      </w:r>
      <w:r w:rsidRPr="00551086">
        <w:rPr>
          <w:rFonts w:ascii="Times New Roman" w:hAnsi="Times New Roman" w:cs="Times New Roman"/>
          <w:color w:val="222222"/>
          <w:sz w:val="24"/>
          <w:szCs w:val="24"/>
          <w:shd w:val="clear" w:color="auto" w:fill="FFFFFF"/>
        </w:rPr>
        <w:t>, </w:t>
      </w:r>
      <w:r w:rsidRPr="00551086">
        <w:rPr>
          <w:rFonts w:ascii="Times New Roman" w:hAnsi="Times New Roman" w:cs="Times New Roman"/>
          <w:i/>
          <w:iCs/>
          <w:color w:val="222222"/>
          <w:sz w:val="24"/>
          <w:szCs w:val="24"/>
          <w:shd w:val="clear" w:color="auto" w:fill="FFFFFF"/>
        </w:rPr>
        <w:t>77</w:t>
      </w:r>
      <w:r w:rsidRPr="00551086">
        <w:rPr>
          <w:rFonts w:ascii="Times New Roman" w:hAnsi="Times New Roman" w:cs="Times New Roman"/>
          <w:color w:val="222222"/>
          <w:sz w:val="24"/>
          <w:szCs w:val="24"/>
          <w:shd w:val="clear" w:color="auto" w:fill="FFFFFF"/>
        </w:rPr>
        <w:t>(4), 1169-1205.</w:t>
      </w:r>
    </w:p>
    <w:p w:rsidR="00801700" w:rsidRPr="00551086" w:rsidRDefault="00801700" w:rsidP="00801700">
      <w:pPr>
        <w:spacing w:line="480" w:lineRule="auto"/>
        <w:ind w:left="720" w:hanging="720"/>
        <w:rPr>
          <w:rFonts w:ascii="Times New Roman" w:hAnsi="Times New Roman" w:cs="Times New Roman"/>
          <w:sz w:val="24"/>
          <w:szCs w:val="24"/>
        </w:rPr>
      </w:pPr>
      <w:r w:rsidRPr="00551086">
        <w:rPr>
          <w:rFonts w:ascii="Times New Roman" w:hAnsi="Times New Roman" w:cs="Times New Roman"/>
          <w:color w:val="222222"/>
          <w:sz w:val="24"/>
          <w:szCs w:val="24"/>
          <w:shd w:val="clear" w:color="auto" w:fill="FFFFFF"/>
        </w:rPr>
        <w:t>Xue, Y. (2024). </w:t>
      </w:r>
      <w:r w:rsidRPr="00551086">
        <w:rPr>
          <w:rFonts w:ascii="Times New Roman" w:hAnsi="Times New Roman" w:cs="Times New Roman"/>
          <w:i/>
          <w:iCs/>
          <w:color w:val="222222"/>
          <w:sz w:val="24"/>
          <w:szCs w:val="24"/>
          <w:shd w:val="clear" w:color="auto" w:fill="FFFFFF"/>
        </w:rPr>
        <w:t>Effect of Correlation Boundaries on Collinearity and Bias in Ordinary Least Square Regression</w:t>
      </w:r>
      <w:r w:rsidRPr="00551086">
        <w:rPr>
          <w:rFonts w:ascii="Times New Roman" w:hAnsi="Times New Roman" w:cs="Times New Roman"/>
          <w:color w:val="222222"/>
          <w:sz w:val="24"/>
          <w:szCs w:val="24"/>
          <w:shd w:val="clear" w:color="auto" w:fill="FFFFFF"/>
        </w:rPr>
        <w:t> (Doctoral dissertation, The University of Alabama at Birmingham).</w:t>
      </w:r>
    </w:p>
    <w:p w:rsidR="00801700" w:rsidRPr="00F61A0E" w:rsidRDefault="00801700">
      <w:pPr>
        <w:spacing w:line="480" w:lineRule="auto"/>
        <w:ind w:left="720" w:hanging="720"/>
        <w:rPr>
          <w:rFonts w:ascii="Times New Roman" w:hAnsi="Times New Roman" w:cs="Times New Roman"/>
          <w:sz w:val="24"/>
          <w:szCs w:val="24"/>
        </w:rPr>
      </w:pPr>
    </w:p>
    <w:p w:rsidR="00BB1024" w:rsidRPr="00F61A0E" w:rsidRDefault="00BB1024">
      <w:pPr>
        <w:spacing w:line="480" w:lineRule="auto"/>
        <w:rPr>
          <w:rFonts w:ascii="Times New Roman" w:hAnsi="Times New Roman" w:cs="Times New Roman"/>
          <w:b/>
          <w:sz w:val="24"/>
          <w:szCs w:val="24"/>
        </w:rPr>
      </w:pPr>
    </w:p>
    <w:sectPr w:rsidR="00BB1024" w:rsidRPr="00F61A0E">
      <w:headerReference w:type="even" r:id="rId20"/>
      <w:headerReference w:type="default" r:id="rId21"/>
      <w:headerReference w:type="first" r:id="rId22"/>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C56" w:rsidRDefault="00567C56">
      <w:pPr>
        <w:spacing w:after="0" w:line="240" w:lineRule="auto"/>
      </w:pPr>
      <w:r>
        <w:separator/>
      </w:r>
    </w:p>
  </w:endnote>
  <w:endnote w:type="continuationSeparator" w:id="0">
    <w:p w:rsidR="00567C56" w:rsidRDefault="00567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Times New Roman"/>
    <w:charset w:val="01"/>
    <w:family w:val="roman"/>
    <w:pitch w:val="variable"/>
  </w:font>
  <w:font w:name="Liberation Sans">
    <w:altName w:val="Arial"/>
    <w:charset w:val="01"/>
    <w:family w:val="roman"/>
    <w:pitch w:val="variable"/>
  </w:font>
  <w:font w:name="Source Han Sans CN">
    <w:panose1 w:val="00000000000000000000"/>
    <w:charset w:val="00"/>
    <w:family w:val="roman"/>
    <w:notTrueType/>
    <w:pitch w:val="default"/>
  </w:font>
  <w:font w:name="Droid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C56" w:rsidRDefault="00567C56">
      <w:pPr>
        <w:spacing w:after="0" w:line="240" w:lineRule="auto"/>
      </w:pPr>
      <w:r>
        <w:separator/>
      </w:r>
    </w:p>
  </w:footnote>
  <w:footnote w:type="continuationSeparator" w:id="0">
    <w:p w:rsidR="00567C56" w:rsidRDefault="00567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94E" w:rsidRDefault="000C69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5873399"/>
      <w:docPartObj>
        <w:docPartGallery w:val="Page Numbers (Top of Page)"/>
        <w:docPartUnique/>
      </w:docPartObj>
    </w:sdtPr>
    <w:sdtContent>
      <w:p w:rsidR="000C694E" w:rsidRDefault="000C694E">
        <w:pPr>
          <w:pStyle w:val="Header"/>
          <w:jc w:val="right"/>
        </w:pPr>
        <w:r>
          <w:fldChar w:fldCharType="begin"/>
        </w:r>
        <w:r>
          <w:instrText xml:space="preserve"> PAGE </w:instrText>
        </w:r>
        <w:r>
          <w:fldChar w:fldCharType="separate"/>
        </w:r>
        <w:r w:rsidR="00A4249A">
          <w:rPr>
            <w:noProof/>
          </w:rPr>
          <w:t>18</w:t>
        </w:r>
        <w:r>
          <w:fldChar w:fldCharType="end"/>
        </w:r>
      </w:p>
    </w:sdtContent>
  </w:sdt>
  <w:p w:rsidR="000C694E" w:rsidRDefault="000C69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152163"/>
      <w:docPartObj>
        <w:docPartGallery w:val="Page Numbers (Top of Page)"/>
        <w:docPartUnique/>
      </w:docPartObj>
    </w:sdtPr>
    <w:sdtContent>
      <w:p w:rsidR="000C694E" w:rsidRDefault="000C694E">
        <w:pPr>
          <w:pStyle w:val="Header"/>
          <w:jc w:val="right"/>
        </w:pPr>
        <w:r>
          <w:fldChar w:fldCharType="begin"/>
        </w:r>
        <w:r>
          <w:instrText xml:space="preserve"> PAGE </w:instrText>
        </w:r>
        <w:r>
          <w:fldChar w:fldCharType="separate"/>
        </w:r>
        <w:r>
          <w:t>32</w:t>
        </w:r>
        <w:r>
          <w:fldChar w:fldCharType="end"/>
        </w:r>
      </w:p>
    </w:sdtContent>
  </w:sdt>
  <w:p w:rsidR="000C694E" w:rsidRDefault="000C69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B1E6D"/>
    <w:multiLevelType w:val="multilevel"/>
    <w:tmpl w:val="DF5C527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1C9C4A1C"/>
    <w:multiLevelType w:val="multilevel"/>
    <w:tmpl w:val="C37C20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4AFF6E73"/>
    <w:multiLevelType w:val="multilevel"/>
    <w:tmpl w:val="1174E3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9E60FAB"/>
    <w:multiLevelType w:val="multilevel"/>
    <w:tmpl w:val="ACE0AC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6B1D7667"/>
    <w:multiLevelType w:val="multilevel"/>
    <w:tmpl w:val="2D2A14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024"/>
    <w:rsid w:val="00050A14"/>
    <w:rsid w:val="000514DD"/>
    <w:rsid w:val="000C694E"/>
    <w:rsid w:val="001B366A"/>
    <w:rsid w:val="001D5676"/>
    <w:rsid w:val="00243D89"/>
    <w:rsid w:val="00296E9A"/>
    <w:rsid w:val="002D6185"/>
    <w:rsid w:val="002E4455"/>
    <w:rsid w:val="002F395F"/>
    <w:rsid w:val="00316C05"/>
    <w:rsid w:val="00324B6B"/>
    <w:rsid w:val="00350D39"/>
    <w:rsid w:val="00355765"/>
    <w:rsid w:val="0038074B"/>
    <w:rsid w:val="00385415"/>
    <w:rsid w:val="003E3563"/>
    <w:rsid w:val="00411D1B"/>
    <w:rsid w:val="005262CF"/>
    <w:rsid w:val="00541CA8"/>
    <w:rsid w:val="00567C56"/>
    <w:rsid w:val="00596ABF"/>
    <w:rsid w:val="005B7055"/>
    <w:rsid w:val="005C3C10"/>
    <w:rsid w:val="005D6194"/>
    <w:rsid w:val="006179D6"/>
    <w:rsid w:val="0066644C"/>
    <w:rsid w:val="006D04A9"/>
    <w:rsid w:val="006D05D6"/>
    <w:rsid w:val="0070078D"/>
    <w:rsid w:val="00723813"/>
    <w:rsid w:val="00793651"/>
    <w:rsid w:val="007C7CF4"/>
    <w:rsid w:val="00801700"/>
    <w:rsid w:val="00812AF3"/>
    <w:rsid w:val="00831D1B"/>
    <w:rsid w:val="00836480"/>
    <w:rsid w:val="0085034E"/>
    <w:rsid w:val="008C7C36"/>
    <w:rsid w:val="00A05088"/>
    <w:rsid w:val="00A4249A"/>
    <w:rsid w:val="00A553DC"/>
    <w:rsid w:val="00A851CA"/>
    <w:rsid w:val="00BB1024"/>
    <w:rsid w:val="00C45ECA"/>
    <w:rsid w:val="00C70D1A"/>
    <w:rsid w:val="00CB5ECD"/>
    <w:rsid w:val="00CD6E70"/>
    <w:rsid w:val="00D142D3"/>
    <w:rsid w:val="00D51143"/>
    <w:rsid w:val="00DB00F5"/>
    <w:rsid w:val="00E04776"/>
    <w:rsid w:val="00E243C0"/>
    <w:rsid w:val="00EC2DFA"/>
    <w:rsid w:val="00ED43CF"/>
    <w:rsid w:val="00F369E9"/>
    <w:rsid w:val="00F61A0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00390"/>
  <w15:docId w15:val="{456FFD6C-9CA6-44FE-87AA-E83C45A62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7F52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4C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86F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86F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F52F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qFormat/>
    <w:rsid w:val="00686F8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qFormat/>
    <w:rsid w:val="00686F8B"/>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qFormat/>
    <w:rsid w:val="00F74CBD"/>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31690D"/>
    <w:rPr>
      <w:b/>
      <w:bCs/>
    </w:rPr>
  </w:style>
  <w:style w:type="character" w:styleId="Emphasis">
    <w:name w:val="Emphasis"/>
    <w:basedOn w:val="DefaultParagraphFont"/>
    <w:uiPriority w:val="20"/>
    <w:qFormat/>
    <w:rsid w:val="0031690D"/>
    <w:rPr>
      <w:i/>
      <w:iCs/>
    </w:rPr>
  </w:style>
  <w:style w:type="character" w:customStyle="1" w:styleId="HeaderChar">
    <w:name w:val="Header Char"/>
    <w:basedOn w:val="DefaultParagraphFont"/>
    <w:link w:val="Header"/>
    <w:uiPriority w:val="99"/>
    <w:qFormat/>
    <w:rsid w:val="001B5C4B"/>
  </w:style>
  <w:style w:type="character" w:customStyle="1" w:styleId="FooterChar">
    <w:name w:val="Footer Char"/>
    <w:basedOn w:val="DefaultParagraphFont"/>
    <w:link w:val="Footer"/>
    <w:uiPriority w:val="99"/>
    <w:qFormat/>
    <w:rsid w:val="001B5C4B"/>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Droid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34"/>
    <w:qFormat/>
    <w:rsid w:val="00F74CBD"/>
    <w:pPr>
      <w:ind w:left="720"/>
      <w:contextualSpacing/>
    </w:pPr>
  </w:style>
  <w:style w:type="paragraph" w:styleId="NormalWeb">
    <w:name w:val="Normal (Web)"/>
    <w:basedOn w:val="Normal"/>
    <w:uiPriority w:val="99"/>
    <w:semiHidden/>
    <w:unhideWhenUsed/>
    <w:qFormat/>
    <w:rsid w:val="0031690D"/>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B5C4B"/>
    <w:pPr>
      <w:tabs>
        <w:tab w:val="center" w:pos="4680"/>
        <w:tab w:val="right" w:pos="9360"/>
      </w:tabs>
      <w:spacing w:after="0" w:line="240" w:lineRule="auto"/>
    </w:pPr>
  </w:style>
  <w:style w:type="paragraph" w:styleId="Footer">
    <w:name w:val="footer"/>
    <w:basedOn w:val="Normal"/>
    <w:link w:val="FooterChar"/>
    <w:uiPriority w:val="99"/>
    <w:unhideWhenUsed/>
    <w:rsid w:val="001B5C4B"/>
    <w:pPr>
      <w:tabs>
        <w:tab w:val="center" w:pos="4680"/>
        <w:tab w:val="right" w:pos="9360"/>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character" w:styleId="Hyperlink">
    <w:name w:val="Hyperlink"/>
    <w:basedOn w:val="DefaultParagraphFont"/>
    <w:uiPriority w:val="99"/>
    <w:unhideWhenUsed/>
    <w:rsid w:val="001B366A"/>
    <w:rPr>
      <w:color w:val="0563C1" w:themeColor="hyperlink"/>
      <w:u w:val="single"/>
    </w:rPr>
  </w:style>
  <w:style w:type="table" w:styleId="TableGrid">
    <w:name w:val="Table Grid"/>
    <w:basedOn w:val="TableNormal"/>
    <w:uiPriority w:val="39"/>
    <w:rsid w:val="00C70D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99976">
      <w:bodyDiv w:val="1"/>
      <w:marLeft w:val="0"/>
      <w:marRight w:val="0"/>
      <w:marTop w:val="0"/>
      <w:marBottom w:val="0"/>
      <w:divBdr>
        <w:top w:val="none" w:sz="0" w:space="0" w:color="auto"/>
        <w:left w:val="none" w:sz="0" w:space="0" w:color="auto"/>
        <w:bottom w:val="none" w:sz="0" w:space="0" w:color="auto"/>
        <w:right w:val="none" w:sz="0" w:space="0" w:color="auto"/>
      </w:divBdr>
    </w:div>
    <w:div w:id="307057911">
      <w:bodyDiv w:val="1"/>
      <w:marLeft w:val="0"/>
      <w:marRight w:val="0"/>
      <w:marTop w:val="0"/>
      <w:marBottom w:val="0"/>
      <w:divBdr>
        <w:top w:val="none" w:sz="0" w:space="0" w:color="auto"/>
        <w:left w:val="none" w:sz="0" w:space="0" w:color="auto"/>
        <w:bottom w:val="none" w:sz="0" w:space="0" w:color="auto"/>
        <w:right w:val="none" w:sz="0" w:space="0" w:color="auto"/>
      </w:divBdr>
    </w:div>
    <w:div w:id="620577600">
      <w:bodyDiv w:val="1"/>
      <w:marLeft w:val="0"/>
      <w:marRight w:val="0"/>
      <w:marTop w:val="0"/>
      <w:marBottom w:val="0"/>
      <w:divBdr>
        <w:top w:val="none" w:sz="0" w:space="0" w:color="auto"/>
        <w:left w:val="none" w:sz="0" w:space="0" w:color="auto"/>
        <w:bottom w:val="none" w:sz="0" w:space="0" w:color="auto"/>
        <w:right w:val="none" w:sz="0" w:space="0" w:color="auto"/>
      </w:divBdr>
    </w:div>
    <w:div w:id="1458833454">
      <w:bodyDiv w:val="1"/>
      <w:marLeft w:val="0"/>
      <w:marRight w:val="0"/>
      <w:marTop w:val="0"/>
      <w:marBottom w:val="0"/>
      <w:divBdr>
        <w:top w:val="none" w:sz="0" w:space="0" w:color="auto"/>
        <w:left w:val="none" w:sz="0" w:space="0" w:color="auto"/>
        <w:bottom w:val="none" w:sz="0" w:space="0" w:color="auto"/>
        <w:right w:val="none" w:sz="0" w:space="0" w:color="auto"/>
      </w:divBdr>
    </w:div>
    <w:div w:id="2133670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ata.worldbank.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FA625-1C1B-4D54-914F-9355295CB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47</Pages>
  <Words>9057</Words>
  <Characters>51627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Windows User</cp:lastModifiedBy>
  <cp:revision>62</cp:revision>
  <dcterms:created xsi:type="dcterms:W3CDTF">2024-12-12T12:21:00Z</dcterms:created>
  <dcterms:modified xsi:type="dcterms:W3CDTF">2024-12-12T19:13:00Z</dcterms:modified>
  <dc:language>en-US</dc:language>
</cp:coreProperties>
</file>