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8F69" w14:textId="189AD0A8" w:rsidR="00F24DB2" w:rsidRPr="00536B07" w:rsidRDefault="00F24DB2" w:rsidP="00536B07">
      <w:pPr>
        <w:pStyle w:val="Ttulo1"/>
        <w:spacing w:after="100" w:afterAutospacing="1" w:line="240" w:lineRule="auto"/>
        <w:jc w:val="center"/>
      </w:pPr>
      <w:r w:rsidRPr="00536B07">
        <w:t>Informe ejecutivo –</w:t>
      </w:r>
    </w:p>
    <w:p w14:paraId="43574CC8" w14:textId="3E24CE35" w:rsidR="00403371" w:rsidRDefault="00F24DB2" w:rsidP="00536B07">
      <w:pPr>
        <w:pStyle w:val="Ttulo1"/>
        <w:spacing w:after="100" w:afterAutospacing="1" w:line="240" w:lineRule="auto"/>
        <w:jc w:val="center"/>
        <w:rPr>
          <w:b/>
          <w:bCs/>
        </w:rPr>
      </w:pPr>
      <w:r w:rsidRPr="00F24DB2">
        <w:rPr>
          <w:b/>
          <w:bCs/>
        </w:rPr>
        <w:t xml:space="preserve">Rotación y retención de talento en ABC </w:t>
      </w:r>
      <w:proofErr w:type="spellStart"/>
      <w:r w:rsidRPr="00F24DB2">
        <w:rPr>
          <w:b/>
          <w:bCs/>
        </w:rPr>
        <w:t>Corporation</w:t>
      </w:r>
      <w:proofErr w:type="spellEnd"/>
    </w:p>
    <w:p w14:paraId="6645A369" w14:textId="77777777" w:rsidR="00536B07" w:rsidRDefault="00536B07" w:rsidP="00536B0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</w:p>
    <w:p w14:paraId="0106B08A" w14:textId="3690A639" w:rsidR="00536B07" w:rsidRPr="00536B07" w:rsidRDefault="00536B07" w:rsidP="00536B0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536B07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1. Contexto y foto general</w:t>
      </w:r>
    </w:p>
    <w:p w14:paraId="2CA62188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ABC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Corporation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cuenta con 1.470 empleados y una plantilla joven: edad media 36,9 años, con un 45,4% entre 30</w:t>
      </w: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noBreakHyphen/>
        <w:t>40 años, 21% menores de 30, 22,7% entre 40</w:t>
      </w: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noBreakHyphen/>
        <w:t xml:space="preserve">50 y 11% mayores de 50. </w:t>
      </w:r>
    </w:p>
    <w:p w14:paraId="3464EC5A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La estructura está fuertemente orientada a I+D: un 65,3% de la plantilla trabaja en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&amp;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Development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, un 30,3% en Sales y un 4,3% en Human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Resources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, lo que refleja un negocio intensivo en conocimiento técnico y comercial. </w:t>
      </w:r>
    </w:p>
    <w:p w14:paraId="122FCEA4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La tasa de rotación global es del 16,1%, con una satisfacción laboral media de 2,74 sobre 4 (≈68%), lo que indica un clima razonablemente </w:t>
      </w:r>
      <w:proofErr w:type="gram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positivo</w:t>
      </w:r>
      <w:proofErr w:type="gram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pero con margen de mejora. </w:t>
      </w:r>
    </w:p>
    <w:p w14:paraId="43FEFC8D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El 27,6% de los empleados realiza horas extra de forma habitual y el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triplica el riesgo de salida, por lo que la carga de trabajo es un elemento estructural y crítico en el modelo de personas. </w:t>
      </w:r>
    </w:p>
    <w:p w14:paraId="78AF3CED" w14:textId="4F1717F5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La mayoría vive relativamente cerca (distancia media al trabajo 9,2 km, con fuerte concentración en tramos cortos), lo que limita el impacto del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commute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sz w:val="24"/>
          <w:szCs w:val="24"/>
        </w:rPr>
        <w:t>, aunque los empleados más alejados muestran mayor rotación.</w:t>
      </w:r>
    </w:p>
    <w:p w14:paraId="75C14309" w14:textId="06438AE3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1235AE14" w14:textId="77777777" w:rsidR="00536B07" w:rsidRPr="00536B07" w:rsidRDefault="00536B07" w:rsidP="00536B07">
      <w:pPr>
        <w:pStyle w:val="Ttulo2"/>
      </w:pPr>
      <w:r w:rsidRPr="00536B07">
        <w:t>2. Qué está impulsando la rotación</w:t>
      </w:r>
    </w:p>
    <w:p w14:paraId="3063E7D8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2.1 Satisfacción y clima laboral</w:t>
      </w:r>
    </w:p>
    <w:p w14:paraId="0D9535DC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Los empleados que se marchan presentan sistemáticamente menor satisfacción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Job </w:t>
      </w:r>
      <w:proofErr w:type="spellStart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Satisfaction</w:t>
      </w:r>
      <w:proofErr w:type="spellEnd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2,48 frente a 2,79, </w:t>
      </w:r>
      <w:proofErr w:type="spellStart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Environment</w:t>
      </w:r>
      <w:proofErr w:type="spellEnd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</w:t>
      </w:r>
      <w:proofErr w:type="spellStart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Satisfaction</w:t>
      </w:r>
      <w:proofErr w:type="spellEnd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2,46 frente a 2,77 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y Work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noBreakHyphen/>
        <w:t>Life Balance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2,66 frente a 2,78. </w:t>
      </w:r>
    </w:p>
    <w:p w14:paraId="578D15FB" w14:textId="5A912715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Aproximadamente un 20% de la plantilla se sitúa en niveles bajos de satisfacción (niveles 1–2), conformando un grupo claro de riesgo que concentra buena parte de la fuga de talento. </w:t>
      </w:r>
    </w:p>
    <w:p w14:paraId="03C21440" w14:textId="371263D8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>Todas las dimensiones de satisfacción se sitúan ligeramente por encima del 65%, pero lejos del nivel “excelente” (≈80%), lo que sugiere margen para políticas más activas de clima, liderazgo y desarrollo.​</w:t>
      </w:r>
    </w:p>
    <w:p w14:paraId="478F995E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lastRenderedPageBreak/>
        <w:t>2.2 Carga de trabajo y horas extra</w:t>
      </w:r>
    </w:p>
    <w:p w14:paraId="21A45C7A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El 27,6% de los empleados hace horas extra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; entre quienes hacen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la rotación alcanza el 30,9%, frente al 10,2% en quienes no hacen horas extra 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(≈3 veces más probabilidad de irse)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75B222C0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Este patrón se repite en los principales departamentos: tanto en Sales como en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&amp;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Development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, la combinación de alta carga y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se asocia a rotaciones muy superiores a la media. </w:t>
      </w:r>
    </w:p>
    <w:p w14:paraId="6AFB74E0" w14:textId="397C6EC4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>El departamento etiquetado como Unknown presenta, además, la mayor proporción de empleados con horas extra (34,1%), lo que apunta a problemas de dimensionamiento y/o de asignación organizativa.​</w:t>
      </w:r>
    </w:p>
    <w:p w14:paraId="768FC597" w14:textId="77777777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4BBFAB63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2.3 Roles críticos de fuga de talento</w:t>
      </w:r>
    </w:p>
    <w:p w14:paraId="741CFF17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Sales Representative es el rol con mayor tasa de rotación 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(en torno al 40%), a pesar de tener niveles de satisfacción medios similares a los de otros puestos, lo que sugiere presión comercial, objetivos exigentes y alta empleabilidad externa. </w:t>
      </w:r>
    </w:p>
    <w:p w14:paraId="35ACF9A9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Laboratory</w:t>
      </w:r>
      <w:proofErr w:type="spellEnd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</w:t>
      </w:r>
      <w:proofErr w:type="spellStart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Technician</w:t>
      </w:r>
      <w:proofErr w:type="spellEnd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y Human </w:t>
      </w:r>
      <w:proofErr w:type="spellStart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Resources</w:t>
      </w:r>
      <w:proofErr w:type="spellEnd"/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también presentan rotaciones elevadas, en estos casos acompañadas de satisfacción algo más baja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, lo que añade un componente emocional y de desgaste. </w:t>
      </w:r>
    </w:p>
    <w:p w14:paraId="131ED21B" w14:textId="177319AF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En contraste, roles como Manager,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Healthcare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Representative o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gramStart"/>
      <w:r w:rsidRPr="00536B07">
        <w:rPr>
          <w:rFonts w:asciiTheme="majorHAnsi" w:eastAsiaTheme="majorEastAsia" w:hAnsiTheme="majorHAnsi" w:cstheme="majorBidi"/>
          <w:sz w:val="24"/>
          <w:szCs w:val="24"/>
        </w:rPr>
        <w:t>Director</w:t>
      </w:r>
      <w:proofErr w:type="gram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muestran rotaciones muy bajas con niveles de satisfacción razonablemente altos, funcionando como “anclas” de estabilidad interna.</w:t>
      </w:r>
    </w:p>
    <w:p w14:paraId="3F136E54" w14:textId="77777777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206F00D2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2.4 Edad, distancia y segmentos de riesgo</w:t>
      </w:r>
    </w:p>
    <w:p w14:paraId="2827FCFC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Los empleados menores de 30 años presentan una tasa de rotación cercana al 28%, casi el doble de la media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, estableciendo al talento joven como grupo prioritario de retención. </w:t>
      </w:r>
    </w:p>
    <w:p w14:paraId="0F0FBA38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La rotación aumenta de forma progresiva con la distancia al trabajo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: de 13,6% para quienes viven a menos de 5 km hasta 21,4% para quienes viven a 20 km o más, lo que implica un incremento relativo de alrededor del 60%. </w:t>
      </w:r>
    </w:p>
    <w:p w14:paraId="4A747D3E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El efecto se agrava cuando se combina larga distancia y horas extra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: entre empleados con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, la rotación supera el 30% en tramos de 10–20 km y alcanza alrededor del 42% en quienes viven a ≥20 km. </w:t>
      </w:r>
    </w:p>
    <w:p w14:paraId="5D7F35CE" w14:textId="6967B415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Los segmentos de mayor riesgo aparecen en empleados &lt;30 años con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y distancia elevada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 xml:space="preserve"> 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>(≥10 km), donde la probabilidad de salida supera el 55–60%, así como en grupos con registro de horas “Unknown”, que alcanzan valores extremos de fuga.</w:t>
      </w:r>
    </w:p>
    <w:p w14:paraId="743FFE8B" w14:textId="71F597C6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56150B1D" w14:textId="77777777" w:rsidR="00536B07" w:rsidRPr="00536B07" w:rsidRDefault="00536B07" w:rsidP="00536B07">
      <w:pPr>
        <w:pStyle w:val="Ttulo2"/>
      </w:pPr>
      <w:r w:rsidRPr="00536B07">
        <w:lastRenderedPageBreak/>
        <w:t>3. Compensación y equidad (incluida perspectiva de género)</w:t>
      </w:r>
    </w:p>
    <w:p w14:paraId="005831AE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3.1 Estructura salarial general</w:t>
      </w:r>
    </w:p>
    <w:p w14:paraId="429CB2C5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La retribución presenta una alta dispersión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: salarios mensuales entre 1.009 y 19.999 €, con una media de 6.484 € y una mediana sensiblemente inferior (4.907 €), 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lo que indica que la media está inflada por una cola de salarios muy altos.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0F6B5CAE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La progresión por nivel jerárquico es lógica y creciente (≈2.700 €/mes en nivel 1, 5.575 € en nivel 2, 9.940 € en nivel 3, 15.468 € en nivel 4 y 19.200 € en nivel 5), reforzando el incentivo a la promoción interna. </w:t>
      </w:r>
    </w:p>
    <w:p w14:paraId="3B2BE35F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Por departamento, Sales es el área mejor pagada (7.112 €/mes de media), seguida de Unknown (6.865 €) y Human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Resources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(6.517 €), mientras que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&amp;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Development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presenta el salario medio más bajo (5.957 €/mes) pese a concentrar la mayoría del talento técnico. </w:t>
      </w:r>
    </w:p>
    <w:p w14:paraId="52768107" w14:textId="24CF2E31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El nivel educativo no determina de forma clara el salario: las distribuciones retributivas son similares entre niveles de estudios y el factor determinante es el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JobLevel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y el rol, más que el título académico.​</w:t>
      </w:r>
    </w:p>
    <w:p w14:paraId="2740D8D1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3.2 Brecha de género</w:t>
      </w:r>
    </w:p>
    <w:p w14:paraId="2EFFECDF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La tasa de rotación es ligeramente superior en hombres (17,0%) que en mujeres (14,8%), por lo que </w:t>
      </w:r>
      <w:r w:rsidRPr="00536B07">
        <w:rPr>
          <w:rFonts w:asciiTheme="majorHAnsi" w:eastAsiaTheme="majorEastAsia" w:hAnsiTheme="majorHAnsi" w:cstheme="majorBidi"/>
          <w:color w:val="EE0000"/>
          <w:sz w:val="24"/>
          <w:szCs w:val="24"/>
        </w:rPr>
        <w:t>la fuga de talento no está especialmente feminizada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460F738E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La satisfacción laboral media es muy similar (2,77 en hombres vs 2,69 en mujeres), sin brecha clara agregada. Las mujeres no están concentradas en los niveles más bajos; su peso en niveles 3–5 es incluso algo superior al de los hombres y su experiencia media es ligeramente mayor (11,7 vs 11,0 años). </w:t>
      </w:r>
    </w:p>
    <w:p w14:paraId="3FE71E75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Al comparar salarios por género dentro del mismo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JobRole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y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JobLevel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, las diferencias son pequeñas y mixtas: en algunos roles y niveles ganan más los hombres, en otros las mujeres, y no se observa una brecha salarial sistemática a favor de un único género. </w:t>
      </w:r>
    </w:p>
    <w:p w14:paraId="7DCA81AB" w14:textId="59D0F22A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>La principal fuente potencial de inequidad se concentra en la cola alta de salarios y en diferencias entre roles/departamentos, más que en una discriminación directa de género dentro del mismo puesto.</w:t>
      </w:r>
    </w:p>
    <w:p w14:paraId="5CDD82B8" w14:textId="2088493F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38ECA197" w14:textId="77777777" w:rsidR="00536B07" w:rsidRPr="00536B07" w:rsidRDefault="00536B07" w:rsidP="00536B07">
      <w:pPr>
        <w:pStyle w:val="Ttulo2"/>
      </w:pPr>
      <w:r w:rsidRPr="00536B07">
        <w:t>4. Dónde está el riesgo: segmentos prioritarios</w:t>
      </w:r>
    </w:p>
    <w:p w14:paraId="68FFE20A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4.1 Empleados con horas extra</w:t>
      </w:r>
    </w:p>
    <w:p w14:paraId="3B8F7EB6" w14:textId="77777777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Casi un tercio de la plantilla realiza horas extra de forma recurrente, con una tasa de rotación tres veces superior a la de quienes no las realizan y niveles algo peores de satisfacción y balance vida</w:t>
      </w: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noBreakHyphen/>
        <w:t>trabajo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>. Este colectivo concentra una proporción muy relevante de bajas, especialmente en departamentos de alta presión operativa como Sales, R&amp;D y el grupo Unknown.</w:t>
      </w:r>
    </w:p>
    <w:p w14:paraId="0AFCE73C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lastRenderedPageBreak/>
        <w:t>4.2 Roles comerciales y técnicos de volumen</w:t>
      </w:r>
    </w:p>
    <w:p w14:paraId="5B3348A7" w14:textId="77777777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Sales Representative, Sales Executive,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Scientist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y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Laboratory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Technician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concentran una parte muy relevante de la plantilla y muestran combinaciones de alta rotación y/o satisfacción moderada. </w:t>
      </w:r>
    </w:p>
    <w:p w14:paraId="233F977B" w14:textId="276EA817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>Intervenir en estos roles tiene impacto directo en la continuidad del negocio, la calidad del servicio y los costes de sustitución y formación.</w:t>
      </w:r>
    </w:p>
    <w:p w14:paraId="59A30361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4.3 Departamentos saturados y funciones de soporte</w:t>
      </w:r>
    </w:p>
    <w:p w14:paraId="4B3CDEF8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Sales y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&amp;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Development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combinan alto peso en plantilla, niveles elevados de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y rotación por encima de la media, lo que evidencia posibles problemas de dimensionamiento y priorización de proyectos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0E9A9AB2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Human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Resources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presenta una ratio ajustada RRHH/empleados (≈1/23) y una rotación femenina especialmente alta, lo que puede limitar su capacidad para sostener las políticas de personas que la compañía necesita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5DC574D5" w14:textId="7942B159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El departamento Unknown acumula valores preocupantes tanto en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como en rotación y salario, convirtiéndose en una “bandera roja” de estructura y calidad de datos.</w:t>
      </w:r>
    </w:p>
    <w:p w14:paraId="7B1FEBFD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4.4 Jóvenes con alta carga, distancia y movilidad</w:t>
      </w:r>
    </w:p>
    <w:p w14:paraId="53C02936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Los empleados menores de 30 años con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 xml:space="preserve"> y larga distancia al trabajo (≥10–20 km) presentan probabilidades de salida superiores al 50–60%, emergiendo como el segmento de riesgo más crítico del modelo.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4728FB35" w14:textId="77777777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>La combinación de edad joven, horas extra y desplazamiento largo parece más determinante para la rotación que la propia percepción de Work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noBreakHyphen/>
        <w:t xml:space="preserve">Life Balance, que se mantiene relativamente estable por tramos de distancia. </w:t>
      </w:r>
    </w:p>
    <w:p w14:paraId="12AD363C" w14:textId="0DF9E73E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sz w:val="24"/>
          <w:szCs w:val="24"/>
        </w:rPr>
        <w:t>Adicionalmente, subgrupos con OverTime = Unknown y etiquetados en departamentos Unknown muestran tasas de abandono muy altas, lo que sugiere problemas de registro, condiciones especiales o falta de supervisión.</w:t>
      </w:r>
    </w:p>
    <w:p w14:paraId="1A064FE0" w14:textId="0A39F740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5C71E9DF" w14:textId="77777777" w:rsidR="00536B07" w:rsidRP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7F330110" w14:textId="77777777" w:rsidR="00536B07" w:rsidRPr="00536B07" w:rsidRDefault="00536B07" w:rsidP="00536B07">
      <w:pPr>
        <w:pStyle w:val="Ttulo2"/>
      </w:pPr>
      <w:r w:rsidRPr="00536B07">
        <w:t>5. Recomendaciones de retención de talento</w:t>
      </w:r>
    </w:p>
    <w:p w14:paraId="62BCC7F5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 xml:space="preserve">5.1 Actuar sobre la carga de trabajo y el </w:t>
      </w:r>
      <w:proofErr w:type="spellStart"/>
      <w:r w:rsidRPr="00536B07">
        <w:rPr>
          <w:sz w:val="24"/>
          <w:szCs w:val="24"/>
        </w:rPr>
        <w:t>overtime</w:t>
      </w:r>
      <w:proofErr w:type="spellEnd"/>
    </w:p>
    <w:p w14:paraId="606C0C24" w14:textId="77777777" w:rsidR="00536B07" w:rsidRPr="00536B07" w:rsidRDefault="00536B07" w:rsidP="00536B07">
      <w:pPr>
        <w:pStyle w:val="Prrafodelista"/>
        <w:numPr>
          <w:ilvl w:val="0"/>
          <w:numId w:val="3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536B07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Redimensionar equipos en los roles y departamentos con mayor combinación de </w:t>
      </w:r>
      <w:proofErr w:type="spellStart"/>
      <w:r w:rsidRPr="00536B07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overtime</w:t>
      </w:r>
      <w:proofErr w:type="spellEnd"/>
      <w:r w:rsidRPr="00536B07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y rotación</w:t>
      </w:r>
      <w:r w:rsidRPr="00536B07">
        <w:rPr>
          <w:rFonts w:asciiTheme="majorHAnsi" w:eastAsiaTheme="majorEastAsia" w:hAnsiTheme="majorHAnsi" w:cstheme="majorBidi"/>
          <w:color w:val="70AD47" w:themeColor="accent6"/>
          <w:sz w:val="24"/>
          <w:szCs w:val="24"/>
        </w:rPr>
        <w:t xml:space="preserve"> 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(especialmente Sales Representative, Sales Executive,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Research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Scientist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y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Laboratory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36B07">
        <w:rPr>
          <w:rFonts w:asciiTheme="majorHAnsi" w:eastAsiaTheme="majorEastAsia" w:hAnsiTheme="majorHAnsi" w:cstheme="majorBidi"/>
          <w:sz w:val="24"/>
          <w:szCs w:val="24"/>
        </w:rPr>
        <w:t>Technician</w:t>
      </w:r>
      <w:proofErr w:type="spellEnd"/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 en Sales y R&amp;D). </w:t>
      </w:r>
    </w:p>
    <w:p w14:paraId="4C03F801" w14:textId="77777777" w:rsidR="002222BE" w:rsidRDefault="00536B07" w:rsidP="00536B07">
      <w:pPr>
        <w:pStyle w:val="Prrafodelista"/>
        <w:numPr>
          <w:ilvl w:val="0"/>
          <w:numId w:val="3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Establecer límites y políticas claras de horas extra, con tracking sistemático, revisión mensual por manager y planes específicos en los equipos con tasas de rotación más elevadas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7F4FF9A9" w14:textId="022E79D1" w:rsidR="00536B07" w:rsidRPr="00536B07" w:rsidRDefault="00536B07" w:rsidP="00536B07">
      <w:pPr>
        <w:pStyle w:val="Prrafodelista"/>
        <w:numPr>
          <w:ilvl w:val="0"/>
          <w:numId w:val="3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lastRenderedPageBreak/>
        <w:t>Implementar medidas de alivio de carga: refuerzos temporales en picos de demanda, automatización de tareas repetitivas y rotación interna para evitar la concentración de burnout en los mismos perfiles</w:t>
      </w:r>
      <w:r w:rsidRPr="00536B07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01DE0D40" w14:textId="77777777" w:rsidR="002222BE" w:rsidRDefault="002222BE" w:rsidP="00536B07">
      <w:pPr>
        <w:pStyle w:val="Ttulo2"/>
        <w:rPr>
          <w:sz w:val="24"/>
          <w:szCs w:val="24"/>
        </w:rPr>
      </w:pPr>
    </w:p>
    <w:p w14:paraId="3A29CBAB" w14:textId="4F4E173B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5.2 Programas específicos para el 20% de empleados con baja satisfacción</w:t>
      </w:r>
    </w:p>
    <w:p w14:paraId="5C093E6A" w14:textId="77777777" w:rsidR="002222BE" w:rsidRPr="002222BE" w:rsidRDefault="00536B07" w:rsidP="002222BE">
      <w:pPr>
        <w:pStyle w:val="Prrafodelista"/>
        <w:numPr>
          <w:ilvl w:val="0"/>
          <w:numId w:val="4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Identificar individualmente a los empleados en niveles 1–2 de Job y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Environment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Satisfaction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y lanzar planes personalizados</w:t>
      </w:r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proofErr w:type="spellStart"/>
      <w:r w:rsidRPr="002222BE">
        <w:rPr>
          <w:rFonts w:asciiTheme="majorHAnsi" w:eastAsiaTheme="majorEastAsia" w:hAnsiTheme="majorHAnsi" w:cstheme="majorBidi"/>
          <w:sz w:val="24"/>
          <w:szCs w:val="24"/>
        </w:rPr>
        <w:t>feedback</w:t>
      </w:r>
      <w:proofErr w:type="spellEnd"/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 estructurado, cambios de rol, formación o </w:t>
      </w:r>
      <w:proofErr w:type="spellStart"/>
      <w:r w:rsidRPr="002222BE">
        <w:rPr>
          <w:rFonts w:asciiTheme="majorHAnsi" w:eastAsiaTheme="majorEastAsia" w:hAnsiTheme="majorHAnsi" w:cstheme="majorBidi"/>
          <w:sz w:val="24"/>
          <w:szCs w:val="24"/>
        </w:rPr>
        <w:t>mentoring</w:t>
      </w:r>
      <w:proofErr w:type="spellEnd"/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707741F3" w14:textId="3EAF096C" w:rsidR="00536B07" w:rsidRPr="002222BE" w:rsidRDefault="00536B07" w:rsidP="002222BE">
      <w:pPr>
        <w:pStyle w:val="Prrafodelista"/>
        <w:numPr>
          <w:ilvl w:val="0"/>
          <w:numId w:val="4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Reforzar el papel del manager en los equipos con mayor rotación</w:t>
      </w:r>
      <w:r w:rsidRPr="002222BE">
        <w:rPr>
          <w:rFonts w:asciiTheme="majorHAnsi" w:eastAsiaTheme="majorEastAsia" w:hAnsiTheme="majorHAnsi" w:cstheme="majorBidi"/>
          <w:sz w:val="24"/>
          <w:szCs w:val="24"/>
        </w:rPr>
        <w:t>, con formación en liderazgo, comunicación, asignación de carga y gestión de expectativas.​</w:t>
      </w:r>
    </w:p>
    <w:p w14:paraId="12E9E5F1" w14:textId="77777777" w:rsidR="002222BE" w:rsidRPr="00536B07" w:rsidRDefault="002222BE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2A29F786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5.3 Planes de carrera, desarrollo y movilidad</w:t>
      </w:r>
    </w:p>
    <w:p w14:paraId="1857437E" w14:textId="77777777" w:rsidR="002222BE" w:rsidRPr="002222BE" w:rsidRDefault="00536B07" w:rsidP="002222BE">
      <w:pPr>
        <w:pStyle w:val="Prrafodelista"/>
        <w:numPr>
          <w:ilvl w:val="0"/>
          <w:numId w:val="5"/>
        </w:numPr>
        <w:jc w:val="both"/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Diseñar rutas de progreso claras para Sales Representative, Sales Executive,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Research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Scientist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y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Laboratory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Technician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, con hitos de promoción y reconocimiento ligados a competencias y resultados, no solo a antigüedad. </w:t>
      </w:r>
    </w:p>
    <w:p w14:paraId="2C0FA045" w14:textId="77777777" w:rsidR="002222BE" w:rsidRPr="002222BE" w:rsidRDefault="00536B07" w:rsidP="002222BE">
      <w:pPr>
        <w:pStyle w:val="Prrafodelista"/>
        <w:numPr>
          <w:ilvl w:val="0"/>
          <w:numId w:val="5"/>
        </w:numPr>
        <w:jc w:val="both"/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Potenciar la movilidad interna entre roles técnicos y comerciales, aprovechando el peso de R&amp;D y Sales para construir itinerarios horizontales y verticales que retengan talento joven. </w:t>
      </w:r>
    </w:p>
    <w:p w14:paraId="2709870E" w14:textId="66C4EEF2" w:rsidR="00536B07" w:rsidRPr="002222BE" w:rsidRDefault="00536B07" w:rsidP="002222BE">
      <w:pPr>
        <w:pStyle w:val="Prrafodelista"/>
        <w:numPr>
          <w:ilvl w:val="0"/>
          <w:numId w:val="5"/>
        </w:numPr>
        <w:jc w:val="both"/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Prestar atención específica a empleados con muchos años sin promoción (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outliers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10–15 años), que constituyen un grupo potencial de desenganche y rotación silenciosa.​</w:t>
      </w:r>
    </w:p>
    <w:p w14:paraId="5C64EFD2" w14:textId="77777777" w:rsidR="002222BE" w:rsidRDefault="002222BE" w:rsidP="00536B07">
      <w:pPr>
        <w:pStyle w:val="Ttulo2"/>
        <w:rPr>
          <w:sz w:val="24"/>
          <w:szCs w:val="24"/>
        </w:rPr>
      </w:pPr>
    </w:p>
    <w:p w14:paraId="338EE07B" w14:textId="5A7F3018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5.4 Afinar la política de compensación</w:t>
      </w:r>
    </w:p>
    <w:p w14:paraId="78DBCDC8" w14:textId="77777777" w:rsidR="002222BE" w:rsidRDefault="00536B07" w:rsidP="002222BE">
      <w:pPr>
        <w:pStyle w:val="Prrafodelista"/>
        <w:numPr>
          <w:ilvl w:val="0"/>
          <w:numId w:val="6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Revisar las bandas salariales en R&amp;D para asegurar que están alineadas con el mercado y en equilibrio con Sales</w:t>
      </w:r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, dada la importancia estratégica del talento técnico. </w:t>
      </w:r>
    </w:p>
    <w:p w14:paraId="77E5DDE8" w14:textId="77777777" w:rsidR="002222BE" w:rsidRDefault="00536B07" w:rsidP="002222BE">
      <w:pPr>
        <w:pStyle w:val="Prrafodelista"/>
        <w:numPr>
          <w:ilvl w:val="0"/>
          <w:numId w:val="6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Analizar en detalle la cola alta de salarios</w:t>
      </w:r>
      <w:r w:rsidRPr="002222BE">
        <w:rPr>
          <w:rFonts w:asciiTheme="majorHAnsi" w:eastAsiaTheme="majorEastAsia" w:hAnsiTheme="majorHAnsi" w:cstheme="majorBidi"/>
          <w:color w:val="70AD47" w:themeColor="accent6"/>
          <w:sz w:val="24"/>
          <w:szCs w:val="24"/>
        </w:rPr>
        <w:t xml:space="preserve"> </w:t>
      </w:r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(niveles 4–5 y roles directivos) para garantizar coherencia interna y transparencia, </w:t>
      </w: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reduciendo el gap entre media y mediana que puede alimentar percepciones de inequidad.</w:t>
      </w:r>
      <w:r w:rsidRPr="002222BE">
        <w:rPr>
          <w:rFonts w:asciiTheme="majorHAnsi" w:eastAsiaTheme="majorEastAsia" w:hAnsiTheme="majorHAnsi" w:cstheme="majorBidi"/>
          <w:color w:val="70AD47" w:themeColor="accent6"/>
          <w:sz w:val="24"/>
          <w:szCs w:val="24"/>
        </w:rPr>
        <w:t xml:space="preserve"> </w:t>
      </w:r>
    </w:p>
    <w:p w14:paraId="0B469199" w14:textId="23726DAA" w:rsidR="00536B07" w:rsidRDefault="00536B07" w:rsidP="002222BE">
      <w:pPr>
        <w:pStyle w:val="Prrafodelista"/>
        <w:numPr>
          <w:ilvl w:val="0"/>
          <w:numId w:val="6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Mantener monitorizadas las diferencias salariales por género en roles y niveles concretos</w:t>
      </w:r>
      <w:r w:rsidRPr="002222BE">
        <w:rPr>
          <w:rFonts w:asciiTheme="majorHAnsi" w:eastAsiaTheme="majorEastAsia" w:hAnsiTheme="majorHAnsi" w:cstheme="majorBidi"/>
          <w:sz w:val="24"/>
          <w:szCs w:val="24"/>
        </w:rPr>
        <w:t>, aunque el análisis actual no detecta una brecha estructural sistemática.</w:t>
      </w:r>
    </w:p>
    <w:p w14:paraId="4E463395" w14:textId="77777777" w:rsidR="002222BE" w:rsidRPr="002222BE" w:rsidRDefault="002222BE" w:rsidP="002222BE">
      <w:pPr>
        <w:pStyle w:val="Prrafodelista"/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2D4C55ED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t>5.5 Teletrabajo, flexibilidad y distancia</w:t>
      </w:r>
    </w:p>
    <w:p w14:paraId="5B80DF7D" w14:textId="77777777" w:rsidR="002222BE" w:rsidRDefault="00536B07" w:rsidP="002222BE">
      <w:pPr>
        <w:pStyle w:val="Prrafodelista"/>
        <w:numPr>
          <w:ilvl w:val="0"/>
          <w:numId w:val="7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Considerar esquemas de teletrabajo o flexibilidad horaria para los segmentos de mayor distancia, especialmente cuando se combinan con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>overtime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70AD47" w:themeColor="accent6"/>
          <w:sz w:val="24"/>
          <w:szCs w:val="24"/>
        </w:rPr>
        <w:t xml:space="preserve"> y juventud (&lt;30 años), donde el riesgo de salida es máximo</w:t>
      </w:r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. </w:t>
      </w:r>
    </w:p>
    <w:p w14:paraId="6489398A" w14:textId="346D2DC0" w:rsidR="00536B07" w:rsidRPr="002222BE" w:rsidRDefault="00536B07" w:rsidP="002222BE">
      <w:pPr>
        <w:pStyle w:val="Prrafodelista"/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sz w:val="24"/>
          <w:szCs w:val="24"/>
        </w:rPr>
        <w:t>En estos colectivos, el impacto sobre retención puede ser especialmente alto con medidas de flexibilidad que reduzcan el coste temporal y emocional del desplazamiento.​</w:t>
      </w:r>
    </w:p>
    <w:p w14:paraId="7F71582B" w14:textId="77777777" w:rsidR="00536B07" w:rsidRPr="00536B07" w:rsidRDefault="00536B07" w:rsidP="00536B07">
      <w:pPr>
        <w:pStyle w:val="Ttulo2"/>
        <w:rPr>
          <w:sz w:val="24"/>
          <w:szCs w:val="24"/>
        </w:rPr>
      </w:pPr>
      <w:r w:rsidRPr="00536B07">
        <w:rPr>
          <w:sz w:val="24"/>
          <w:szCs w:val="24"/>
        </w:rPr>
        <w:lastRenderedPageBreak/>
        <w:t>5.6 Gobernanza de datos y segmentación</w:t>
      </w:r>
    </w:p>
    <w:p w14:paraId="7441F1DF" w14:textId="77777777" w:rsidR="002222BE" w:rsidRDefault="00536B07" w:rsidP="002222BE">
      <w:pPr>
        <w:pStyle w:val="Prrafodelista"/>
        <w:numPr>
          <w:ilvl w:val="0"/>
          <w:numId w:val="7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Regularizar el uso del departamento Unknown y depurar la asignación de empleados a unidades organizativas, para que las decisiones de personas se basen en información fiable. </w:t>
      </w:r>
    </w:p>
    <w:p w14:paraId="3A505F2F" w14:textId="0131F2F2" w:rsidR="00536B07" w:rsidRPr="002222BE" w:rsidRDefault="00536B07" w:rsidP="002222BE">
      <w:pPr>
        <w:pStyle w:val="Prrafodelista"/>
        <w:numPr>
          <w:ilvl w:val="0"/>
          <w:numId w:val="7"/>
        </w:numPr>
        <w:jc w:val="both"/>
        <w:rPr>
          <w:rFonts w:asciiTheme="majorHAnsi" w:eastAsiaTheme="majorEastAsia" w:hAnsiTheme="majorHAnsi" w:cstheme="majorBidi"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sz w:val="24"/>
          <w:szCs w:val="24"/>
        </w:rPr>
        <w:t xml:space="preserve">Implantar un cuadro de mando de RRHH con indicadores de rotación, satisfacción, </w:t>
      </w:r>
      <w:proofErr w:type="spellStart"/>
      <w:r w:rsidRPr="002222BE">
        <w:rPr>
          <w:rFonts w:asciiTheme="majorHAnsi" w:eastAsiaTheme="majorEastAsia" w:hAnsiTheme="majorHAnsi" w:cstheme="majorBidi"/>
          <w:sz w:val="24"/>
          <w:szCs w:val="24"/>
        </w:rPr>
        <w:t>overtime</w:t>
      </w:r>
      <w:proofErr w:type="spellEnd"/>
      <w:r w:rsidRPr="002222BE">
        <w:rPr>
          <w:rFonts w:asciiTheme="majorHAnsi" w:eastAsiaTheme="majorEastAsia" w:hAnsiTheme="majorHAnsi" w:cstheme="majorBidi"/>
          <w:sz w:val="24"/>
          <w:szCs w:val="24"/>
        </w:rPr>
        <w:t>, distancia, edad, género, rol y departamento, con seguimiento trimestral y alertas tempranas de riesgo.</w:t>
      </w:r>
    </w:p>
    <w:p w14:paraId="386067C4" w14:textId="67562B82" w:rsidR="00536B07" w:rsidRDefault="00536B07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231463E0" w14:textId="77777777" w:rsidR="002222BE" w:rsidRPr="00536B07" w:rsidRDefault="002222BE" w:rsidP="00536B07">
      <w:pPr>
        <w:jc w:val="both"/>
        <w:rPr>
          <w:rFonts w:asciiTheme="majorHAnsi" w:eastAsiaTheme="majorEastAsia" w:hAnsiTheme="majorHAnsi" w:cstheme="majorBidi"/>
          <w:sz w:val="24"/>
          <w:szCs w:val="24"/>
        </w:rPr>
      </w:pPr>
    </w:p>
    <w:p w14:paraId="65798DF0" w14:textId="77777777" w:rsidR="00536B07" w:rsidRPr="00536B07" w:rsidRDefault="00536B07" w:rsidP="00536B07">
      <w:pPr>
        <w:pStyle w:val="Ttulo2"/>
        <w:jc w:val="center"/>
      </w:pPr>
      <w:r w:rsidRPr="00536B07">
        <w:t>6. Resumen para Dirección</w:t>
      </w:r>
    </w:p>
    <w:p w14:paraId="76BCEB9A" w14:textId="77777777" w:rsidR="002222BE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La rotación en ABC 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>Corporation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(16,1%) no es un fenómeno aleatorio: está fuertemente asociada a factores modificables como </w:t>
      </w:r>
      <w:r w:rsidRPr="002222BE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la satisfacción, la carga de trabajo (</w:t>
      </w:r>
      <w:proofErr w:type="spellStart"/>
      <w:r w:rsidRPr="002222BE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overtime</w:t>
      </w:r>
      <w:proofErr w:type="spellEnd"/>
      <w:r w:rsidRPr="002222BE">
        <w:rPr>
          <w:rFonts w:asciiTheme="majorHAnsi" w:eastAsiaTheme="majorEastAsia" w:hAnsiTheme="majorHAnsi" w:cstheme="majorBidi"/>
          <w:b/>
          <w:bCs/>
          <w:color w:val="EE0000"/>
          <w:sz w:val="24"/>
          <w:szCs w:val="24"/>
        </w:rPr>
        <w:t>), la presión en determinados roles y la situación de los empleados jóvenes, especialmente cuando viven lejos y acumulan horas extra</w:t>
      </w:r>
      <w:r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. </w:t>
      </w:r>
    </w:p>
    <w:p w14:paraId="58EE2216" w14:textId="77777777" w:rsidR="002222BE" w:rsidRDefault="00536B07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La compañía parte de una base sólida (estructura salarial lógica, clima razonablemente positivo, fuerte inversión en formación y ausencia de una gran brecha de género), pero presenta focos de riesgo concentrados en roles comerciales y técnicos de volumen, en departamentos con alta presión operativa y en segmentos jóvenes con alta carga y desplazamiento. </w:t>
      </w:r>
    </w:p>
    <w:p w14:paraId="034711D3" w14:textId="04B5EF4D" w:rsidR="00536B07" w:rsidRPr="002222BE" w:rsidRDefault="00EB42B6" w:rsidP="00536B07">
      <w:pPr>
        <w:jc w:val="bot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t>Actuar</w:t>
      </w:r>
      <w:r w:rsidR="00536B07"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de forma prioritaria sobre la gestión del </w:t>
      </w:r>
      <w:proofErr w:type="spellStart"/>
      <w:r w:rsidR="00536B07"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>overtime</w:t>
      </w:r>
      <w:proofErr w:type="spellEnd"/>
      <w:r w:rsidR="00536B07"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, los planes de carrera en roles clave, la limpieza de datos (Unknown) y la flexibilidad para colectivos de alto riesgo puede reducir significativamente la fuga de talento (del entorno del 16% hacia el 10–12%), mejorar el compromiso y proteger la inversión en formación y conocimiento especializado que caracteriza a ABC </w:t>
      </w:r>
      <w:proofErr w:type="spellStart"/>
      <w:r w:rsidR="00536B07"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>Corporation</w:t>
      </w:r>
      <w:proofErr w:type="spellEnd"/>
      <w:r w:rsidR="00536B07" w:rsidRPr="002222BE">
        <w:rPr>
          <w:rFonts w:asciiTheme="majorHAnsi" w:eastAsiaTheme="majorEastAsia" w:hAnsiTheme="majorHAnsi" w:cstheme="majorBidi"/>
          <w:b/>
          <w:bCs/>
          <w:sz w:val="24"/>
          <w:szCs w:val="24"/>
        </w:rPr>
        <w:t>.</w:t>
      </w:r>
    </w:p>
    <w:p w14:paraId="40ECAFB1" w14:textId="3760C618" w:rsidR="00F24DB2" w:rsidRPr="00536B07" w:rsidRDefault="00F24DB2" w:rsidP="00536B07">
      <w:pPr>
        <w:pStyle w:val="Ttulo2"/>
        <w:jc w:val="both"/>
        <w:rPr>
          <w:rFonts w:cstheme="majorHAnsi"/>
          <w:color w:val="auto"/>
          <w:sz w:val="24"/>
          <w:szCs w:val="24"/>
        </w:rPr>
      </w:pPr>
    </w:p>
    <w:sectPr w:rsidR="00F24DB2" w:rsidRPr="00536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632"/>
    <w:multiLevelType w:val="hybridMultilevel"/>
    <w:tmpl w:val="81EE2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27EF"/>
    <w:multiLevelType w:val="hybridMultilevel"/>
    <w:tmpl w:val="43406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13CCF"/>
    <w:multiLevelType w:val="multilevel"/>
    <w:tmpl w:val="07B893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C354231"/>
    <w:multiLevelType w:val="hybridMultilevel"/>
    <w:tmpl w:val="EF6802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27A96"/>
    <w:multiLevelType w:val="hybridMultilevel"/>
    <w:tmpl w:val="C27C8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4794F"/>
    <w:multiLevelType w:val="hybridMultilevel"/>
    <w:tmpl w:val="47726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219D9"/>
    <w:multiLevelType w:val="hybridMultilevel"/>
    <w:tmpl w:val="329A8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172229">
    <w:abstractNumId w:val="2"/>
  </w:num>
  <w:num w:numId="2" w16cid:durableId="659773962">
    <w:abstractNumId w:val="1"/>
  </w:num>
  <w:num w:numId="3" w16cid:durableId="1785149055">
    <w:abstractNumId w:val="4"/>
  </w:num>
  <w:num w:numId="4" w16cid:durableId="973758850">
    <w:abstractNumId w:val="6"/>
  </w:num>
  <w:num w:numId="5" w16cid:durableId="1066495833">
    <w:abstractNumId w:val="5"/>
  </w:num>
  <w:num w:numId="6" w16cid:durableId="174462273">
    <w:abstractNumId w:val="0"/>
  </w:num>
  <w:num w:numId="7" w16cid:durableId="126846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2F"/>
    <w:rsid w:val="000C47CA"/>
    <w:rsid w:val="0012603C"/>
    <w:rsid w:val="002222BE"/>
    <w:rsid w:val="00295D2F"/>
    <w:rsid w:val="00403371"/>
    <w:rsid w:val="00536B07"/>
    <w:rsid w:val="008919E1"/>
    <w:rsid w:val="00D23B16"/>
    <w:rsid w:val="00EB42B6"/>
    <w:rsid w:val="00F2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8C78"/>
  <w15:chartTrackingRefBased/>
  <w15:docId w15:val="{6CE6D813-DF4D-4D15-BB0C-03942426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5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D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D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D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1889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Perez Segovia</dc:creator>
  <cp:keywords/>
  <dc:description/>
  <cp:lastModifiedBy>Ruth Perez Segovia</cp:lastModifiedBy>
  <cp:revision>3</cp:revision>
  <dcterms:created xsi:type="dcterms:W3CDTF">2026-02-05T11:56:00Z</dcterms:created>
  <dcterms:modified xsi:type="dcterms:W3CDTF">2026-02-05T13:18:00Z</dcterms:modified>
</cp:coreProperties>
</file>