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djikit76iz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zhmd4k8eo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computadoras portátiles, teléfonos inteligentes, tabletas, televisores auriculares y inteligentes.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7krjpys0y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Ses.- Ses.abado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vqv4xobna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umjdh1py5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xfca8torv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[Este espacio completado después del análisis en Colab]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