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Exploratory Data Analysis of Indian Agricultural Costs and Yields</w:t>
      </w:r>
    </w:p>
    <w:p>
      <w:pPr>
        <w:pStyle w:val="Body"/>
      </w:pPr>
      <w:r>
        <w:rPr>
          <w:rtl w:val="0"/>
          <w:lang w:val="en-US"/>
        </w:rPr>
        <w:t>This report presents a comprehensive Exploratory Data Analysis (EDA) of the cost of cultivation in India, based on the provided dataset. The following sections visualize and explain key findings related to costs, yields, profitability, and regional variations.</w:t>
      </w:r>
    </w:p>
    <w:p>
      <w:pPr>
        <w:pStyle w:val="Heading"/>
      </w:pPr>
      <w:r>
        <w:rPr>
          <w:rtl w:val="0"/>
          <w:lang w:val="en-US"/>
        </w:rPr>
        <w:t>Glossary: Understanding Agricultural Cost Concepts</w:t>
      </w:r>
    </w:p>
    <w:p>
      <w:pPr>
        <w:pStyle w:val="Body"/>
      </w:pPr>
      <w:r>
        <w:rPr>
          <w:rtl w:val="0"/>
          <w:lang w:val="en-US"/>
        </w:rPr>
        <w:t>The dataset uses standard cost concepts defined by India's Commission for Agricultural Costs and Prices (CACP). Understanding these is key to the analysis. The primary metric used in this report is Cost C2, as it is the most comprehensive measure of a farmer's expenses.</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A1</w:t>
      </w:r>
      <w:r>
        <w:rPr>
          <w:rFonts w:ascii="Cambria" w:hAnsi="Cambria"/>
          <w:sz w:val="22"/>
          <w:szCs w:val="22"/>
          <w:u w:color="000000"/>
          <w:rtl w:val="0"/>
          <w:lang w:val="en-US"/>
        </w:rPr>
        <w:t>: All actual paid-out expenses in cash and kind. This includes hired labor, seeds, fertilizers, irrigation, etc.</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A2</w:t>
      </w:r>
      <w:r>
        <w:rPr>
          <w:rFonts w:ascii="Cambria" w:hAnsi="Cambria"/>
          <w:sz w:val="22"/>
          <w:szCs w:val="22"/>
          <w:u w:color="000000"/>
          <w:rtl w:val="0"/>
          <w:lang w:val="en-US"/>
        </w:rPr>
        <w:t>: Cost A1 + rent paid for any land leased by the farmer.</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A2+FL</w:t>
      </w:r>
      <w:r>
        <w:rPr>
          <w:rFonts w:ascii="Cambria" w:hAnsi="Cambria"/>
          <w:sz w:val="22"/>
          <w:szCs w:val="22"/>
          <w:u w:color="000000"/>
          <w:rtl w:val="0"/>
          <w:lang w:val="en-US"/>
        </w:rPr>
        <w:t>: Cost A2 + the imputed value of unpaid labor contributed by the farmer and their family.</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B1</w:t>
      </w:r>
      <w:r>
        <w:rPr>
          <w:rFonts w:ascii="Cambria" w:hAnsi="Cambria"/>
          <w:sz w:val="22"/>
          <w:szCs w:val="22"/>
          <w:u w:color="000000"/>
          <w:rtl w:val="0"/>
          <w:lang w:val="en-US"/>
        </w:rPr>
        <w:t>: Cost A1 + interest on the value of owned fixed capital assets (e.g., machinery), excluding land.</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B2</w:t>
      </w:r>
      <w:r>
        <w:rPr>
          <w:rFonts w:ascii="Cambria" w:hAnsi="Cambria"/>
          <w:sz w:val="22"/>
          <w:szCs w:val="22"/>
          <w:u w:color="000000"/>
          <w:rtl w:val="0"/>
          <w:lang w:val="en-US"/>
        </w:rPr>
        <w:t>: Cost B1 + the rental value of the farmer's own land and rent paid for leased land.</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C1</w:t>
      </w:r>
      <w:r>
        <w:rPr>
          <w:rFonts w:ascii="Cambria" w:hAnsi="Cambria"/>
          <w:sz w:val="22"/>
          <w:szCs w:val="22"/>
          <w:u w:color="000000"/>
          <w:rtl w:val="0"/>
          <w:lang w:val="en-US"/>
        </w:rPr>
        <w:t>: Cost B1 + imputed value of family labor.</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C2 (Comprehensive Cost)</w:t>
      </w:r>
      <w:r>
        <w:rPr>
          <w:rFonts w:ascii="Cambria" w:hAnsi="Cambria"/>
          <w:sz w:val="22"/>
          <w:szCs w:val="22"/>
          <w:u w:color="000000"/>
          <w:rtl w:val="0"/>
          <w:lang w:val="en-US"/>
        </w:rPr>
        <w:t>: Cost B2 + imputed value of family labor. This is the most comprehensive cost, accounting for all paid and imputed expenses. It is the 'Total Cultivation Cost' used throughout this report.</w:t>
      </w:r>
    </w:p>
    <w:p>
      <w:pPr>
        <w:pStyle w:val="Default"/>
        <w:numPr>
          <w:ilvl w:val="0"/>
          <w:numId w:val="2"/>
        </w:numPr>
        <w:bidi w:val="0"/>
        <w:spacing w:before="0" w:after="200" w:line="276" w:lineRule="auto"/>
        <w:ind w:right="0"/>
        <w:jc w:val="left"/>
        <w:rPr>
          <w:rFonts w:ascii="Cambria" w:hAnsi="Cambria"/>
          <w:sz w:val="22"/>
          <w:szCs w:val="22"/>
          <w:u w:color="000000"/>
          <w:rtl w:val="0"/>
          <w:lang w:val="en-US"/>
        </w:rPr>
      </w:pPr>
      <w:r>
        <w:rPr>
          <w:rFonts w:ascii="Cambria Bold" w:hAnsi="Cambria Bold"/>
          <w:sz w:val="22"/>
          <w:szCs w:val="22"/>
          <w:u w:color="000000"/>
          <w:rtl w:val="0"/>
          <w:lang w:val="en-US"/>
        </w:rPr>
        <w:t>Cost C3</w:t>
      </w:r>
      <w:r>
        <w:rPr>
          <w:rFonts w:ascii="Cambria" w:hAnsi="Cambria"/>
          <w:sz w:val="22"/>
          <w:szCs w:val="22"/>
          <w:u w:color="000000"/>
          <w:rtl w:val="0"/>
          <w:lang w:val="en-US"/>
        </w:rPr>
        <w:t>: Cost C2 + 10% of Cost C2 to account for the farmer's managerial functions.</w:t>
      </w:r>
    </w:p>
    <w:p>
      <w:pPr>
        <w:pStyle w:val="Heading"/>
      </w:pPr>
      <w:r>
        <w:rPr>
          <w:rtl w:val="0"/>
          <w:lang w:val="en-US"/>
        </w:rPr>
        <w:t>Distribution by Crop Type</w:t>
      </w:r>
    </w:p>
    <w:p>
      <w:pPr>
        <w:pStyle w:val="Body"/>
      </w:pPr>
      <w:r>
        <w:rPr>
          <w:rtl w:val="0"/>
          <w:lang w:val="en-US"/>
        </w:rPr>
        <w:t>This pie chart shows the proportion of data entries for each major crop category. Cereals constitute the largest portion, highlighting their significance in Indian agriculture as recorded in this dataset.</w:t>
      </w:r>
    </w:p>
    <w:p>
      <w:pPr>
        <w:pStyle w:val="Body"/>
      </w:pPr>
      <w:r>
        <w:drawing xmlns:a="http://schemas.openxmlformats.org/drawingml/2006/main">
          <wp:inline distT="0" distB="0" distL="0" distR="0">
            <wp:extent cx="4499412" cy="466920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4499412" cy="4669200"/>
                    </a:xfrm>
                    <a:prstGeom prst="rect">
                      <a:avLst/>
                    </a:prstGeom>
                    <a:ln w="12700" cap="flat">
                      <a:noFill/>
                      <a:miter lim="400000"/>
                    </a:ln>
                    <a:effectLst/>
                  </pic:spPr>
                </pic:pic>
              </a:graphicData>
            </a:graphic>
          </wp:inline>
        </w:drawing>
      </w:r>
    </w:p>
    <w:p>
      <w:pPr>
        <w:pStyle w:val="Body"/>
      </w:pPr>
    </w:p>
    <w:p>
      <w:pPr>
        <w:pStyle w:val="Heading"/>
      </w:pPr>
      <w:r>
        <w:rPr>
          <w:rtl w:val="0"/>
          <w:lang w:val="en-US"/>
        </w:rPr>
        <w:t>Data Entries per State</w:t>
      </w:r>
    </w:p>
    <w:p>
      <w:pPr>
        <w:pStyle w:val="Body"/>
      </w:pPr>
      <w:r>
        <w:rPr>
          <w:rtl w:val="0"/>
          <w:lang w:val="en-US"/>
        </w:rPr>
        <w:t>This bar chart displays the geographic distribution of the dataset, showing the number of agricultural data entries from each Indian state. States like Uttar Pradesh and Madhya Pradesh have the highest representation.</w:t>
      </w:r>
    </w:p>
    <w:p>
      <w:pPr>
        <w:pStyle w:val="Body"/>
      </w:pPr>
      <w:r>
        <w:drawing xmlns:a="http://schemas.openxmlformats.org/drawingml/2006/main">
          <wp:inline distT="0" distB="0" distL="0" distR="0">
            <wp:extent cx="4560010" cy="2903702"/>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4560010" cy="2903702"/>
                    </a:xfrm>
                    <a:prstGeom prst="rect">
                      <a:avLst/>
                    </a:prstGeom>
                    <a:ln w="12700" cap="flat">
                      <a:noFill/>
                      <a:miter lim="400000"/>
                    </a:ln>
                    <a:effectLst/>
                  </pic:spPr>
                </pic:pic>
              </a:graphicData>
            </a:graphic>
          </wp:inline>
        </w:drawing>
      </w:r>
    </w:p>
    <w:p>
      <w:pPr>
        <w:pStyle w:val="Body"/>
      </w:pPr>
    </w:p>
    <w:p>
      <w:pPr>
        <w:pStyle w:val="Heading"/>
      </w:pPr>
      <w:r>
        <w:rPr>
          <w:rtl w:val="0"/>
          <w:lang w:val="en-US"/>
        </w:rPr>
        <w:t>Average Cultivation Cost by State</w:t>
      </w:r>
    </w:p>
    <w:p>
      <w:pPr>
        <w:pStyle w:val="Body"/>
      </w:pPr>
      <w:r>
        <w:rPr>
          <w:rtl w:val="0"/>
          <w:lang w:val="en-US"/>
        </w:rPr>
        <w:t>This chart ranks states by their average total cost of cultivation (Cost C2). It reveals significant regional disparities in farming expenses, with states like Andhra Pradesh showing the highest costs.</w:t>
      </w:r>
    </w:p>
    <w:p>
      <w:pPr>
        <w:pStyle w:val="Body"/>
      </w:pPr>
      <w:r>
        <w:drawing xmlns:a="http://schemas.openxmlformats.org/drawingml/2006/main">
          <wp:inline distT="0" distB="0" distL="0" distR="0">
            <wp:extent cx="4814597" cy="3022020"/>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4814597" cy="3022020"/>
                    </a:xfrm>
                    <a:prstGeom prst="rect">
                      <a:avLst/>
                    </a:prstGeom>
                    <a:ln w="12700" cap="flat">
                      <a:noFill/>
                      <a:miter lim="400000"/>
                    </a:ln>
                    <a:effectLst/>
                  </pic:spPr>
                </pic:pic>
              </a:graphicData>
            </a:graphic>
          </wp:inline>
        </w:drawing>
      </w:r>
    </w:p>
    <w:p>
      <w:pPr>
        <w:pStyle w:val="Body"/>
      </w:pPr>
    </w:p>
    <w:p>
      <w:pPr>
        <w:pStyle w:val="Heading"/>
      </w:pPr>
      <w:r>
        <w:rPr>
          <w:rtl w:val="0"/>
          <w:lang w:val="en-US"/>
        </w:rPr>
        <w:t>Top 10 Costliest Crops</w:t>
      </w:r>
    </w:p>
    <w:p>
      <w:pPr>
        <w:pStyle w:val="Body"/>
      </w:pPr>
      <w:r>
        <w:rPr>
          <w:rtl w:val="0"/>
          <w:lang w:val="en-US"/>
        </w:rPr>
        <w:t>This bar chart identifies the ten crops with the highest average cultivation cost. High-value crops like Sugarcane and Potato dominate this list, indicating they are capital-intensive to grow.</w:t>
      </w:r>
    </w:p>
    <w:p>
      <w:pPr>
        <w:pStyle w:val="Body"/>
      </w:pPr>
      <w:r>
        <w:drawing xmlns:a="http://schemas.openxmlformats.org/drawingml/2006/main">
          <wp:inline distT="0" distB="0" distL="0" distR="0">
            <wp:extent cx="4735258" cy="316133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4735258" cy="3161335"/>
                    </a:xfrm>
                    <a:prstGeom prst="rect">
                      <a:avLst/>
                    </a:prstGeom>
                    <a:ln w="12700" cap="flat">
                      <a:noFill/>
                      <a:miter lim="400000"/>
                    </a:ln>
                    <a:effectLst/>
                  </pic:spPr>
                </pic:pic>
              </a:graphicData>
            </a:graphic>
          </wp:inline>
        </w:drawing>
      </w:r>
    </w:p>
    <w:p>
      <w:pPr>
        <w:pStyle w:val="Body"/>
      </w:pPr>
    </w:p>
    <w:p>
      <w:pPr>
        <w:pStyle w:val="Heading"/>
      </w:pPr>
      <w:r>
        <w:rPr>
          <w:rtl w:val="0"/>
          <w:lang w:val="en-US"/>
        </w:rPr>
        <w:t>Operational vs. Fixed Costs</w:t>
      </w:r>
    </w:p>
    <w:p>
      <w:pPr>
        <w:pStyle w:val="Body"/>
      </w:pPr>
      <w:r>
        <w:rPr>
          <w:rtl w:val="0"/>
          <w:lang w:val="en-US"/>
        </w:rPr>
        <w:t>This stacked bar chart breaks down the total cultivation cost into operational (variable) and fixed components for each crop type. It clearly shows that operational costs form the bulk of expenses across all categories.</w:t>
      </w:r>
    </w:p>
    <w:p>
      <w:pPr>
        <w:pStyle w:val="Body"/>
      </w:pPr>
      <w:r>
        <w:drawing xmlns:a="http://schemas.openxmlformats.org/drawingml/2006/main">
          <wp:inline distT="0" distB="0" distL="0" distR="0">
            <wp:extent cx="4449284" cy="3253889"/>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4449284" cy="3253889"/>
                    </a:xfrm>
                    <a:prstGeom prst="rect">
                      <a:avLst/>
                    </a:prstGeom>
                    <a:ln w="12700" cap="flat">
                      <a:noFill/>
                      <a:miter lim="400000"/>
                    </a:ln>
                    <a:effectLst/>
                  </pic:spPr>
                </pic:pic>
              </a:graphicData>
            </a:graphic>
          </wp:inline>
        </w:drawing>
      </w:r>
    </w:p>
    <w:p>
      <w:pPr>
        <w:pStyle w:val="Heading"/>
      </w:pPr>
      <w:r>
        <w:rPr>
          <w:rtl w:val="0"/>
          <w:lang w:val="en-US"/>
        </w:rPr>
        <w:t>Labor &amp; Machinery Cost Breakdown</w:t>
      </w:r>
    </w:p>
    <w:p>
      <w:pPr>
        <w:pStyle w:val="Body"/>
      </w:pPr>
      <w:r>
        <w:rPr>
          <w:rtl w:val="0"/>
          <w:lang w:val="en-US"/>
        </w:rPr>
        <w:t>This pie chart illustrates the average share of human, animal, and machine labor in the total labor and machinery expenditure. Human labor is the most significant component, followed closely by machinery, signifying a shift towards mechanization.</w:t>
      </w:r>
    </w:p>
    <w:p>
      <w:pPr>
        <w:pStyle w:val="Body"/>
      </w:pPr>
      <w:r>
        <w:drawing xmlns:a="http://schemas.openxmlformats.org/drawingml/2006/main">
          <wp:inline distT="0" distB="0" distL="0" distR="0">
            <wp:extent cx="3533507" cy="3626928"/>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3533507" cy="3626928"/>
                    </a:xfrm>
                    <a:prstGeom prst="rect">
                      <a:avLst/>
                    </a:prstGeom>
                    <a:ln w="12700" cap="flat">
                      <a:noFill/>
                      <a:miter lim="400000"/>
                    </a:ln>
                    <a:effectLst/>
                  </pic:spPr>
                </pic:pic>
              </a:graphicData>
            </a:graphic>
          </wp:inline>
        </w:drawing>
      </w:r>
    </w:p>
    <w:p>
      <w:pPr>
        <w:pStyle w:val="Body"/>
      </w:pPr>
    </w:p>
    <w:p>
      <w:pPr>
        <w:pStyle w:val="Body"/>
      </w:pPr>
    </w:p>
    <w:p>
      <w:pPr>
        <w:pStyle w:val="Heading"/>
      </w:pPr>
      <w:r>
        <w:rPr>
          <w:rtl w:val="0"/>
          <w:lang w:val="en-US"/>
        </w:rPr>
        <w:t>Key Input Costs</w:t>
      </w:r>
    </w:p>
    <w:p>
      <w:pPr>
        <w:pStyle w:val="Body"/>
      </w:pPr>
      <w:r>
        <w:rPr>
          <w:rtl w:val="0"/>
          <w:lang w:val="en-US"/>
        </w:rPr>
        <w:t>This bar chart compares the average per-hectare expenditure on four critical inputs: seeds, fertilizer, manure, and insecticides. Fertilizer and seeds typically represent the highest material input costs for farmers.</w:t>
      </w:r>
    </w:p>
    <w:p>
      <w:pPr>
        <w:pStyle w:val="Body"/>
      </w:pPr>
      <w:r>
        <w:drawing xmlns:a="http://schemas.openxmlformats.org/drawingml/2006/main">
          <wp:inline distT="0" distB="0" distL="0" distR="0">
            <wp:extent cx="4811904" cy="3075361"/>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4811904" cy="3075361"/>
                    </a:xfrm>
                    <a:prstGeom prst="rect">
                      <a:avLst/>
                    </a:prstGeom>
                    <a:ln w="12700" cap="flat">
                      <a:noFill/>
                      <a:miter lim="400000"/>
                    </a:ln>
                    <a:effectLst/>
                  </pic:spPr>
                </pic:pic>
              </a:graphicData>
            </a:graphic>
          </wp:inline>
        </w:drawing>
      </w:r>
    </w:p>
    <w:p>
      <w:pPr>
        <w:pStyle w:val="Heading"/>
      </w:pPr>
      <w:r>
        <w:rPr>
          <w:rtl w:val="0"/>
          <w:lang w:val="en-US"/>
        </w:rPr>
        <w:t>Top 10 Highest Yielding Crops</w:t>
      </w:r>
    </w:p>
    <w:p>
      <w:pPr>
        <w:pStyle w:val="Body"/>
      </w:pPr>
      <w:r>
        <w:rPr>
          <w:rtl w:val="0"/>
          <w:lang w:val="en-US"/>
        </w:rPr>
        <w:t>This chart ranks the top ten crops by their average yield. Unsurprisingly, crops like Sugarcane and Potato, which are bulky, are at the top of this list.</w:t>
      </w:r>
    </w:p>
    <w:p>
      <w:pPr>
        <w:pStyle w:val="Body"/>
      </w:pPr>
      <w:r>
        <w:drawing xmlns:a="http://schemas.openxmlformats.org/drawingml/2006/main">
          <wp:inline distT="0" distB="0" distL="0" distR="0">
            <wp:extent cx="4836780" cy="3229114"/>
            <wp:effectExtent l="0" t="0" r="0" b="0"/>
            <wp:docPr id="1073741832" name="officeArt object" descr="Picture 9"/>
            <wp:cNvGraphicFramePr/>
            <a:graphic xmlns:a="http://schemas.openxmlformats.org/drawingml/2006/main">
              <a:graphicData uri="http://schemas.openxmlformats.org/drawingml/2006/picture">
                <pic:pic xmlns:pic="http://schemas.openxmlformats.org/drawingml/2006/picture">
                  <pic:nvPicPr>
                    <pic:cNvPr id="1073741832" name="Picture 9" descr="Picture 9"/>
                    <pic:cNvPicPr>
                      <a:picLocks noChangeAspect="1"/>
                    </pic:cNvPicPr>
                  </pic:nvPicPr>
                  <pic:blipFill>
                    <a:blip r:embed="rId11">
                      <a:extLst/>
                    </a:blip>
                    <a:stretch>
                      <a:fillRect/>
                    </a:stretch>
                  </pic:blipFill>
                  <pic:spPr>
                    <a:xfrm>
                      <a:off x="0" y="0"/>
                      <a:ext cx="4836780" cy="3229114"/>
                    </a:xfrm>
                    <a:prstGeom prst="rect">
                      <a:avLst/>
                    </a:prstGeom>
                    <a:ln w="12700" cap="flat">
                      <a:noFill/>
                      <a:miter lim="400000"/>
                    </a:ln>
                    <a:effectLst/>
                  </pic:spPr>
                </pic:pic>
              </a:graphicData>
            </a:graphic>
          </wp:inline>
        </w:drawing>
      </w:r>
    </w:p>
    <w:p>
      <w:pPr>
        <w:pStyle w:val="Body"/>
      </w:pPr>
    </w:p>
    <w:p>
      <w:pPr>
        <w:pStyle w:val="Heading"/>
      </w:pPr>
      <w:r>
        <w:rPr>
          <w:rtl w:val="0"/>
          <w:lang w:val="fr-FR"/>
        </w:rPr>
        <w:t>Revenue Composition</w:t>
      </w:r>
    </w:p>
    <w:p>
      <w:pPr>
        <w:pStyle w:val="Body"/>
      </w:pPr>
      <w:r>
        <w:rPr>
          <w:rtl w:val="0"/>
          <w:lang w:val="en-US"/>
        </w:rPr>
        <w:t>This stacked bar chart illustrates the average revenue generated from the main product versus the by-product for each crop type. For most crops, the main product is the primary revenue source, but for some, like certain cereals, the by-product (fodder) is also significant.</w:t>
      </w:r>
    </w:p>
    <w:p>
      <w:pPr>
        <w:pStyle w:val="Body"/>
      </w:pPr>
      <w:r>
        <w:drawing xmlns:a="http://schemas.openxmlformats.org/drawingml/2006/main">
          <wp:inline distT="0" distB="0" distL="0" distR="0">
            <wp:extent cx="4590469" cy="3357142"/>
            <wp:effectExtent l="0" t="0" r="0" b="0"/>
            <wp:docPr id="1073741833" name="officeArt object" descr="Picture 10"/>
            <wp:cNvGraphicFramePr/>
            <a:graphic xmlns:a="http://schemas.openxmlformats.org/drawingml/2006/main">
              <a:graphicData uri="http://schemas.openxmlformats.org/drawingml/2006/picture">
                <pic:pic xmlns:pic="http://schemas.openxmlformats.org/drawingml/2006/picture">
                  <pic:nvPicPr>
                    <pic:cNvPr id="1073741833" name="Picture 10" descr="Picture 10"/>
                    <pic:cNvPicPr>
                      <a:picLocks noChangeAspect="1"/>
                    </pic:cNvPicPr>
                  </pic:nvPicPr>
                  <pic:blipFill>
                    <a:blip r:embed="rId12">
                      <a:extLst/>
                    </a:blip>
                    <a:stretch>
                      <a:fillRect/>
                    </a:stretch>
                  </pic:blipFill>
                  <pic:spPr>
                    <a:xfrm>
                      <a:off x="0" y="0"/>
                      <a:ext cx="4590469" cy="3357142"/>
                    </a:xfrm>
                    <a:prstGeom prst="rect">
                      <a:avLst/>
                    </a:prstGeom>
                    <a:ln w="12700" cap="flat">
                      <a:noFill/>
                      <a:miter lim="400000"/>
                    </a:ln>
                    <a:effectLst/>
                  </pic:spPr>
                </pic:pic>
              </a:graphicData>
            </a:graphic>
          </wp:inline>
        </w:drawing>
      </w:r>
    </w:p>
    <w:p>
      <w:pPr>
        <w:pStyle w:val="Heading"/>
      </w:pPr>
      <w:r>
        <w:rPr>
          <w:rtl w:val="0"/>
        </w:rPr>
        <w:t>Cost vs. Yield</w:t>
      </w:r>
    </w:p>
    <w:p>
      <w:pPr>
        <w:pStyle w:val="Body"/>
      </w:pPr>
      <w:r>
        <w:rPr>
          <w:rtl w:val="0"/>
          <w:lang w:val="en-US"/>
        </w:rPr>
        <w:t>This scatter plot explores the relationship between total cultivation cost and yield, with points colored by crop type. Generally, higher investment leads to higher yield, but the relationship is not always linear and shows considerable variation, suggesting differences in efficiency.</w:t>
      </w:r>
      <w:r>
        <w:drawing xmlns:a="http://schemas.openxmlformats.org/drawingml/2006/main">
          <wp:inline distT="0" distB="0" distL="0" distR="0">
            <wp:extent cx="4598195" cy="3216449"/>
            <wp:effectExtent l="0" t="0" r="0" b="0"/>
            <wp:docPr id="1073741834" name="officeArt object" descr="Picture 11"/>
            <wp:cNvGraphicFramePr/>
            <a:graphic xmlns:a="http://schemas.openxmlformats.org/drawingml/2006/main">
              <a:graphicData uri="http://schemas.openxmlformats.org/drawingml/2006/picture">
                <pic:pic xmlns:pic="http://schemas.openxmlformats.org/drawingml/2006/picture">
                  <pic:nvPicPr>
                    <pic:cNvPr id="1073741834" name="Picture 11" descr="Picture 11"/>
                    <pic:cNvPicPr>
                      <a:picLocks noChangeAspect="1"/>
                    </pic:cNvPicPr>
                  </pic:nvPicPr>
                  <pic:blipFill>
                    <a:blip r:embed="rId13">
                      <a:extLst/>
                    </a:blip>
                    <a:stretch>
                      <a:fillRect/>
                    </a:stretch>
                  </pic:blipFill>
                  <pic:spPr>
                    <a:xfrm>
                      <a:off x="0" y="0"/>
                      <a:ext cx="4598195" cy="3216449"/>
                    </a:xfrm>
                    <a:prstGeom prst="rect">
                      <a:avLst/>
                    </a:prstGeom>
                    <a:ln w="12700" cap="flat">
                      <a:noFill/>
                      <a:miter lim="400000"/>
                    </a:ln>
                    <a:effectLst/>
                  </pic:spPr>
                </pic:pic>
              </a:graphicData>
            </a:graphic>
          </wp:inline>
        </w:drawing>
      </w:r>
    </w:p>
    <w:p>
      <w:pPr>
        <w:pStyle w:val="Body"/>
      </w:pPr>
    </w:p>
    <w:p>
      <w:pPr>
        <w:pStyle w:val="Heading"/>
      </w:pPr>
      <w:r>
        <w:rPr>
          <w:rtl w:val="0"/>
          <w:lang w:val="en-US"/>
        </w:rPr>
        <w:t>Net Return Distribution</w:t>
      </w:r>
    </w:p>
    <w:p>
      <w:pPr>
        <w:pStyle w:val="Body"/>
      </w:pPr>
      <w:r>
        <w:rPr>
          <w:rtl w:val="0"/>
          <w:lang w:val="en-US"/>
        </w:rPr>
        <w:t>This histogram shows the distribution of net returns (profit/loss). The red dashed line at zero represents the break-even point. A significant portion of the distribution falls to the left of this line, indicating that a substantial number of farming operations recorded in the dataset resulted in a financial loss.</w:t>
      </w:r>
    </w:p>
    <w:p>
      <w:pPr>
        <w:pStyle w:val="Body"/>
      </w:pPr>
      <w:r>
        <w:drawing xmlns:a="http://schemas.openxmlformats.org/drawingml/2006/main">
          <wp:inline distT="0" distB="0" distL="0" distR="0">
            <wp:extent cx="4796193" cy="2960963"/>
            <wp:effectExtent l="0" t="0" r="0" b="0"/>
            <wp:docPr id="1073741835" name="officeArt object" descr="Picture 12"/>
            <wp:cNvGraphicFramePr/>
            <a:graphic xmlns:a="http://schemas.openxmlformats.org/drawingml/2006/main">
              <a:graphicData uri="http://schemas.openxmlformats.org/drawingml/2006/picture">
                <pic:pic xmlns:pic="http://schemas.openxmlformats.org/drawingml/2006/picture">
                  <pic:nvPicPr>
                    <pic:cNvPr id="1073741835" name="Picture 12" descr="Picture 12"/>
                    <pic:cNvPicPr>
                      <a:picLocks noChangeAspect="1"/>
                    </pic:cNvPicPr>
                  </pic:nvPicPr>
                  <pic:blipFill>
                    <a:blip r:embed="rId14">
                      <a:extLst/>
                    </a:blip>
                    <a:stretch>
                      <a:fillRect/>
                    </a:stretch>
                  </pic:blipFill>
                  <pic:spPr>
                    <a:xfrm>
                      <a:off x="0" y="0"/>
                      <a:ext cx="4796193" cy="2960963"/>
                    </a:xfrm>
                    <a:prstGeom prst="rect">
                      <a:avLst/>
                    </a:prstGeom>
                    <a:ln w="12700" cap="flat">
                      <a:noFill/>
                      <a:miter lim="400000"/>
                    </a:ln>
                    <a:effectLst/>
                  </pic:spPr>
                </pic:pic>
              </a:graphicData>
            </a:graphic>
          </wp:inline>
        </w:drawing>
      </w:r>
    </w:p>
    <w:p>
      <w:pPr>
        <w:pStyle w:val="Heading"/>
      </w:pPr>
      <w:r>
        <w:rPr>
          <w:rtl w:val="0"/>
          <w:lang w:val="en-US"/>
        </w:rPr>
        <w:t>Top 10 Most Profitable Crops</w:t>
      </w:r>
    </w:p>
    <w:p>
      <w:pPr>
        <w:pStyle w:val="Body"/>
      </w:pPr>
      <w:r>
        <w:rPr>
          <w:rtl w:val="0"/>
          <w:lang w:val="en-US"/>
        </w:rPr>
        <w:t>This chart highlights the ten crops with the highest average net return. Commercial crops like Sugarcane and Potato are among the most profitable, assuming favorable conditions.</w:t>
      </w:r>
    </w:p>
    <w:p>
      <w:pPr>
        <w:pStyle w:val="Body"/>
      </w:pPr>
      <w:r>
        <w:drawing xmlns:a="http://schemas.openxmlformats.org/drawingml/2006/main">
          <wp:inline distT="0" distB="0" distL="0" distR="0">
            <wp:extent cx="5486400" cy="3117978"/>
            <wp:effectExtent l="0" t="0" r="0" b="0"/>
            <wp:docPr id="1073741836" name="officeArt object" descr="Picture 13"/>
            <wp:cNvGraphicFramePr/>
            <a:graphic xmlns:a="http://schemas.openxmlformats.org/drawingml/2006/main">
              <a:graphicData uri="http://schemas.openxmlformats.org/drawingml/2006/picture">
                <pic:pic xmlns:pic="http://schemas.openxmlformats.org/drawingml/2006/picture">
                  <pic:nvPicPr>
                    <pic:cNvPr id="1073741836" name="Picture 13" descr="Picture 13"/>
                    <pic:cNvPicPr>
                      <a:picLocks noChangeAspect="1"/>
                    </pic:cNvPicPr>
                  </pic:nvPicPr>
                  <pic:blipFill>
                    <a:blip r:embed="rId15">
                      <a:extLst/>
                    </a:blip>
                    <a:stretch>
                      <a:fillRect/>
                    </a:stretch>
                  </pic:blipFill>
                  <pic:spPr>
                    <a:xfrm>
                      <a:off x="0" y="0"/>
                      <a:ext cx="5486400" cy="3117978"/>
                    </a:xfrm>
                    <a:prstGeom prst="rect">
                      <a:avLst/>
                    </a:prstGeom>
                    <a:ln w="12700" cap="flat">
                      <a:noFill/>
                      <a:miter lim="400000"/>
                    </a:ln>
                    <a:effectLst/>
                  </pic:spPr>
                </pic:pic>
              </a:graphicData>
            </a:graphic>
          </wp:inline>
        </w:drawing>
      </w:r>
    </w:p>
    <w:p>
      <w:pPr>
        <w:pStyle w:val="Body"/>
      </w:pPr>
    </w:p>
    <w:p>
      <w:pPr>
        <w:pStyle w:val="Heading"/>
      </w:pPr>
      <w:r>
        <w:rPr>
          <w:rtl w:val="0"/>
          <w:lang w:val="en-US"/>
        </w:rPr>
        <w:t>Top 10 Least Profitable Crops</w:t>
      </w:r>
    </w:p>
    <w:p>
      <w:pPr>
        <w:pStyle w:val="Body"/>
      </w:pPr>
      <w:r>
        <w:rPr>
          <w:rtl w:val="0"/>
          <w:lang w:val="en-US"/>
        </w:rPr>
        <w:t>This bar chart shows the ten crops that, on average, resulted in the largest financial losses. It underscores the high financial risk associated with certain crops, where costs frequently exceed revenues.</w:t>
      </w:r>
    </w:p>
    <w:p>
      <w:pPr>
        <w:pStyle w:val="Body"/>
      </w:pPr>
      <w:r>
        <w:drawing xmlns:a="http://schemas.openxmlformats.org/drawingml/2006/main">
          <wp:inline distT="0" distB="0" distL="0" distR="0">
            <wp:extent cx="4627556" cy="3071929"/>
            <wp:effectExtent l="0" t="0" r="0" b="0"/>
            <wp:docPr id="1073741837" name="officeArt object" descr="Picture 14"/>
            <wp:cNvGraphicFramePr/>
            <a:graphic xmlns:a="http://schemas.openxmlformats.org/drawingml/2006/main">
              <a:graphicData uri="http://schemas.openxmlformats.org/drawingml/2006/picture">
                <pic:pic xmlns:pic="http://schemas.openxmlformats.org/drawingml/2006/picture">
                  <pic:nvPicPr>
                    <pic:cNvPr id="1073741837" name="Picture 14" descr="Picture 14"/>
                    <pic:cNvPicPr>
                      <a:picLocks noChangeAspect="1"/>
                    </pic:cNvPicPr>
                  </pic:nvPicPr>
                  <pic:blipFill>
                    <a:blip r:embed="rId16">
                      <a:extLst/>
                    </a:blip>
                    <a:stretch>
                      <a:fillRect/>
                    </a:stretch>
                  </pic:blipFill>
                  <pic:spPr>
                    <a:xfrm>
                      <a:off x="0" y="0"/>
                      <a:ext cx="4627556" cy="3071929"/>
                    </a:xfrm>
                    <a:prstGeom prst="rect">
                      <a:avLst/>
                    </a:prstGeom>
                    <a:ln w="12700" cap="flat">
                      <a:noFill/>
                      <a:miter lim="400000"/>
                    </a:ln>
                    <a:effectLst/>
                  </pic:spPr>
                </pic:pic>
              </a:graphicData>
            </a:graphic>
          </wp:inline>
        </w:drawing>
      </w:r>
    </w:p>
    <w:p>
      <w:pPr>
        <w:pStyle w:val="Body"/>
      </w:pPr>
    </w:p>
    <w:p>
      <w:pPr>
        <w:pStyle w:val="Heading"/>
      </w:pPr>
      <w:r>
        <w:rPr>
          <w:rtl w:val="0"/>
          <w:lang w:val="en-US"/>
        </w:rPr>
        <w:t>Average Net Return by State</w:t>
      </w:r>
    </w:p>
    <w:p>
      <w:pPr>
        <w:pStyle w:val="Body"/>
      </w:pPr>
      <w:r>
        <w:rPr>
          <w:rtl w:val="0"/>
          <w:lang w:val="en-US"/>
        </w:rPr>
        <w:t>This chart ranks states by their average net return from agriculture. It reveals which states have, on average, more profitable farming sectors. States like Haryana and Punjab often show higher profitability, while others face systemic challenges.</w:t>
      </w:r>
    </w:p>
    <w:p>
      <w:pPr>
        <w:pStyle w:val="Body"/>
      </w:pPr>
      <w:r>
        <w:drawing xmlns:a="http://schemas.openxmlformats.org/drawingml/2006/main">
          <wp:inline distT="0" distB="0" distL="0" distR="0">
            <wp:extent cx="5486400" cy="3493604"/>
            <wp:effectExtent l="0" t="0" r="0" b="0"/>
            <wp:docPr id="1073741838" name="officeArt object" descr="Picture 15"/>
            <wp:cNvGraphicFramePr/>
            <a:graphic xmlns:a="http://schemas.openxmlformats.org/drawingml/2006/main">
              <a:graphicData uri="http://schemas.openxmlformats.org/drawingml/2006/picture">
                <pic:pic xmlns:pic="http://schemas.openxmlformats.org/drawingml/2006/picture">
                  <pic:nvPicPr>
                    <pic:cNvPr id="1073741838" name="Picture 15" descr="Picture 15"/>
                    <pic:cNvPicPr>
                      <a:picLocks noChangeAspect="1"/>
                    </pic:cNvPicPr>
                  </pic:nvPicPr>
                  <pic:blipFill>
                    <a:blip r:embed="rId17">
                      <a:extLst/>
                    </a:blip>
                    <a:stretch>
                      <a:fillRect/>
                    </a:stretch>
                  </pic:blipFill>
                  <pic:spPr>
                    <a:xfrm>
                      <a:off x="0" y="0"/>
                      <a:ext cx="5486400" cy="3493604"/>
                    </a:xfrm>
                    <a:prstGeom prst="rect">
                      <a:avLst/>
                    </a:prstGeom>
                    <a:ln w="12700" cap="flat">
                      <a:noFill/>
                      <a:miter lim="400000"/>
                    </a:ln>
                    <a:effectLst/>
                  </pic:spPr>
                </pic:pic>
              </a:graphicData>
            </a:graphic>
          </wp:inline>
        </w:drawing>
      </w:r>
    </w:p>
    <w:p>
      <w:pPr>
        <w:pStyle w:val="Body"/>
      </w:pPr>
    </w:p>
    <w:p>
      <w:pPr>
        <w:pStyle w:val="Heading"/>
      </w:pPr>
      <w:r>
        <w:rPr>
          <w:rtl w:val="0"/>
          <w:lang w:val="en-US"/>
        </w:rPr>
        <w:t>Net Return Distribution by Crop Type</w:t>
      </w:r>
    </w:p>
    <w:p>
      <w:pPr>
        <w:pStyle w:val="Body"/>
      </w:pPr>
      <w:r>
        <w:rPr>
          <w:rtl w:val="0"/>
          <w:lang w:val="en-US"/>
        </w:rPr>
        <w:t>This violin plot provides a deeper look at profitability by showing the full distribution of net returns for each crop type. The width of the violin indicates the frequency of data points at that profit level. It effectively visualizes both the profitability and the financial risk (spread) associated with different crop categories.</w:t>
      </w:r>
    </w:p>
    <w:p>
      <w:pPr>
        <w:pStyle w:val="Body"/>
      </w:pPr>
      <w:r>
        <w:drawing xmlns:a="http://schemas.openxmlformats.org/drawingml/2006/main">
          <wp:inline distT="0" distB="0" distL="0" distR="0">
            <wp:extent cx="5486400" cy="3182293"/>
            <wp:effectExtent l="0" t="0" r="0" b="0"/>
            <wp:docPr id="1073741839" name="officeArt object" descr="Picture 16"/>
            <wp:cNvGraphicFramePr/>
            <a:graphic xmlns:a="http://schemas.openxmlformats.org/drawingml/2006/main">
              <a:graphicData uri="http://schemas.openxmlformats.org/drawingml/2006/picture">
                <pic:pic xmlns:pic="http://schemas.openxmlformats.org/drawingml/2006/picture">
                  <pic:nvPicPr>
                    <pic:cNvPr id="1073741839" name="Picture 16" descr="Picture 16"/>
                    <pic:cNvPicPr>
                      <a:picLocks noChangeAspect="1"/>
                    </pic:cNvPicPr>
                  </pic:nvPicPr>
                  <pic:blipFill>
                    <a:blip r:embed="rId18">
                      <a:extLst/>
                    </a:blip>
                    <a:stretch>
                      <a:fillRect/>
                    </a:stretch>
                  </pic:blipFill>
                  <pic:spPr>
                    <a:xfrm>
                      <a:off x="0" y="0"/>
                      <a:ext cx="5486400" cy="3182293"/>
                    </a:xfrm>
                    <a:prstGeom prst="rect">
                      <a:avLst/>
                    </a:prstGeom>
                    <a:ln w="12700" cap="flat">
                      <a:noFill/>
                      <a:miter lim="400000"/>
                    </a:ln>
                    <a:effectLst/>
                  </pic:spPr>
                </pic:pic>
              </a:graphicData>
            </a:graphic>
          </wp:inline>
        </w:drawing>
      </w:r>
    </w:p>
    <w:p>
      <w:pPr>
        <w:pStyle w:val="Body"/>
      </w:pPr>
    </w:p>
    <w:p>
      <w:pPr>
        <w:pStyle w:val="Heading"/>
      </w:pPr>
      <w:r>
        <w:rPr>
          <w:rtl w:val="0"/>
          <w:lang w:val="en-US"/>
        </w:rPr>
        <w:t>Trends of Costs and Returns</w:t>
      </w:r>
    </w:p>
    <w:p>
      <w:pPr>
        <w:pStyle w:val="Body"/>
      </w:pPr>
      <w:r>
        <w:rPr>
          <w:rtl w:val="0"/>
          <w:lang w:val="en-US"/>
        </w:rPr>
        <w:t>This line chart tracks the average total cultivation cost and average net return from 1999 to 2022. It illustrates the 'cost-price squeeze,' showing that while costs have steadily risen, net returns have been much more volatile and have not kept pace.</w:t>
      </w:r>
    </w:p>
    <w:p>
      <w:pPr>
        <w:pStyle w:val="Body"/>
      </w:pPr>
      <w:r>
        <w:drawing xmlns:a="http://schemas.openxmlformats.org/drawingml/2006/main">
          <wp:inline distT="0" distB="0" distL="0" distR="0">
            <wp:extent cx="5486400" cy="2915524"/>
            <wp:effectExtent l="0" t="0" r="0" b="0"/>
            <wp:docPr id="1073741840" name="officeArt object" descr="Picture 17"/>
            <wp:cNvGraphicFramePr/>
            <a:graphic xmlns:a="http://schemas.openxmlformats.org/drawingml/2006/main">
              <a:graphicData uri="http://schemas.openxmlformats.org/drawingml/2006/picture">
                <pic:pic xmlns:pic="http://schemas.openxmlformats.org/drawingml/2006/picture">
                  <pic:nvPicPr>
                    <pic:cNvPr id="1073741840" name="Picture 17" descr="Picture 17"/>
                    <pic:cNvPicPr>
                      <a:picLocks noChangeAspect="1"/>
                    </pic:cNvPicPr>
                  </pic:nvPicPr>
                  <pic:blipFill>
                    <a:blip r:embed="rId19">
                      <a:extLst/>
                    </a:blip>
                    <a:stretch>
                      <a:fillRect/>
                    </a:stretch>
                  </pic:blipFill>
                  <pic:spPr>
                    <a:xfrm>
                      <a:off x="0" y="0"/>
                      <a:ext cx="5486400" cy="2915524"/>
                    </a:xfrm>
                    <a:prstGeom prst="rect">
                      <a:avLst/>
                    </a:prstGeom>
                    <a:ln w="12700" cap="flat">
                      <a:noFill/>
                      <a:miter lim="400000"/>
                    </a:ln>
                    <a:effectLst/>
                  </pic:spPr>
                </pic:pic>
              </a:graphicData>
            </a:graphic>
          </wp:inline>
        </w:drawing>
      </w:r>
    </w:p>
    <w:p>
      <w:pPr>
        <w:pStyle w:val="Body"/>
      </w:pPr>
    </w:p>
    <w:p>
      <w:pPr>
        <w:pStyle w:val="Heading"/>
      </w:pPr>
      <w:r>
        <w:rPr>
          <w:rtl w:val="0"/>
          <w:lang w:val="en-US"/>
        </w:rPr>
        <w:t>Correlation Heatmap</w:t>
      </w:r>
    </w:p>
    <w:p>
      <w:pPr>
        <w:pStyle w:val="Body"/>
      </w:pPr>
      <w:r>
        <w:rPr>
          <w:rtl w:val="0"/>
          <w:lang w:val="en-US"/>
        </w:rPr>
        <w:t>This heatmap shows the correlation coefficients between key variables. Red indicates a positive correlation, while blue indicates a negative one. It helps to statistically identify relationships, such as the strong positive link between operational costs and total cultivation costs, and the relationship between yield and revenue.</w:t>
      </w:r>
    </w:p>
    <w:p>
      <w:pPr>
        <w:pStyle w:val="Body"/>
      </w:pPr>
      <w:r>
        <w:drawing xmlns:a="http://schemas.openxmlformats.org/drawingml/2006/main">
          <wp:inline distT="0" distB="0" distL="0" distR="0">
            <wp:extent cx="5486400" cy="4736018"/>
            <wp:effectExtent l="0" t="0" r="0" b="0"/>
            <wp:docPr id="1073741841" name="officeArt object" descr="Picture 18"/>
            <wp:cNvGraphicFramePr/>
            <a:graphic xmlns:a="http://schemas.openxmlformats.org/drawingml/2006/main">
              <a:graphicData uri="http://schemas.openxmlformats.org/drawingml/2006/picture">
                <pic:pic xmlns:pic="http://schemas.openxmlformats.org/drawingml/2006/picture">
                  <pic:nvPicPr>
                    <pic:cNvPr id="1073741841" name="Picture 18" descr="Picture 18"/>
                    <pic:cNvPicPr>
                      <a:picLocks noChangeAspect="1"/>
                    </pic:cNvPicPr>
                  </pic:nvPicPr>
                  <pic:blipFill>
                    <a:blip r:embed="rId20">
                      <a:extLst/>
                    </a:blip>
                    <a:stretch>
                      <a:fillRect/>
                    </a:stretch>
                  </pic:blipFill>
                  <pic:spPr>
                    <a:xfrm>
                      <a:off x="0" y="0"/>
                      <a:ext cx="5486400" cy="4736018"/>
                    </a:xfrm>
                    <a:prstGeom prst="rect">
                      <a:avLst/>
                    </a:prstGeom>
                    <a:ln w="12700" cap="flat">
                      <a:noFill/>
                      <a:miter lim="400000"/>
                    </a:ln>
                    <a:effectLst/>
                  </pic:spPr>
                </pic:pic>
              </a:graphicData>
            </a:graphic>
          </wp:inline>
        </w:drawing>
      </w:r>
    </w:p>
    <w:p>
      <w:pPr>
        <w:pStyle w:val="Body"/>
      </w:pPr>
    </w:p>
    <w:p>
      <w:pPr>
        <w:pStyle w:val="Heading"/>
      </w:pPr>
      <w:r>
        <w:rPr>
          <w:rtl w:val="0"/>
          <w:lang w:val="en-US"/>
        </w:rPr>
        <w:t>Cost Structure for Paddy</w:t>
      </w:r>
    </w:p>
    <w:p>
      <w:pPr>
        <w:pStyle w:val="Body"/>
      </w:pPr>
      <w:r>
        <w:rPr>
          <w:rtl w:val="0"/>
          <w:lang w:val="en-US"/>
        </w:rPr>
        <w:t>This pie chart breaks down the major operational costs for Paddy. It highlights the primary drivers of expense for cultivating this specific crop.</w:t>
      </w:r>
    </w:p>
    <w:p>
      <w:pPr>
        <w:pStyle w:val="Body"/>
      </w:pPr>
      <w:r>
        <w:drawing xmlns:a="http://schemas.openxmlformats.org/drawingml/2006/main">
          <wp:inline distT="0" distB="0" distL="0" distR="0">
            <wp:extent cx="4766860" cy="3616239"/>
            <wp:effectExtent l="0" t="0" r="0" b="0"/>
            <wp:docPr id="1073741842" name="officeArt object" descr="Picture 19"/>
            <wp:cNvGraphicFramePr/>
            <a:graphic xmlns:a="http://schemas.openxmlformats.org/drawingml/2006/main">
              <a:graphicData uri="http://schemas.openxmlformats.org/drawingml/2006/picture">
                <pic:pic xmlns:pic="http://schemas.openxmlformats.org/drawingml/2006/picture">
                  <pic:nvPicPr>
                    <pic:cNvPr id="1073741842" name="Picture 19" descr="Picture 19"/>
                    <pic:cNvPicPr>
                      <a:picLocks noChangeAspect="1"/>
                    </pic:cNvPicPr>
                  </pic:nvPicPr>
                  <pic:blipFill>
                    <a:blip r:embed="rId21">
                      <a:extLst/>
                    </a:blip>
                    <a:stretch>
                      <a:fillRect/>
                    </a:stretch>
                  </pic:blipFill>
                  <pic:spPr>
                    <a:xfrm>
                      <a:off x="0" y="0"/>
                      <a:ext cx="4766860" cy="3616239"/>
                    </a:xfrm>
                    <a:prstGeom prst="rect">
                      <a:avLst/>
                    </a:prstGeom>
                    <a:ln w="12700" cap="flat">
                      <a:noFill/>
                      <a:miter lim="400000"/>
                    </a:ln>
                    <a:effectLst/>
                  </pic:spPr>
                </pic:pic>
              </a:graphicData>
            </a:graphic>
          </wp:inline>
        </w:drawing>
      </w:r>
    </w:p>
    <w:p>
      <w:pPr>
        <w:pStyle w:val="Body"/>
      </w:pPr>
    </w:p>
    <w:p>
      <w:pPr>
        <w:pStyle w:val="Heading"/>
      </w:pPr>
      <w:r>
        <w:rPr>
          <w:rtl w:val="0"/>
          <w:lang w:val="en-US"/>
        </w:rPr>
        <w:t>Cost Structure for Wheat</w:t>
      </w:r>
    </w:p>
    <w:p>
      <w:pPr>
        <w:pStyle w:val="Body"/>
      </w:pPr>
      <w:r>
        <w:rPr>
          <w:rtl w:val="0"/>
          <w:lang w:val="en-US"/>
        </w:rPr>
        <w:t>This pie chart breaks down the major operational costs for Wheat. It highlights the primary drivers of expense for cultivating this specific crop.</w:t>
      </w:r>
    </w:p>
    <w:p>
      <w:pPr>
        <w:pStyle w:val="Body"/>
      </w:pPr>
      <w:r>
        <w:drawing xmlns:a="http://schemas.openxmlformats.org/drawingml/2006/main">
          <wp:inline distT="0" distB="0" distL="0" distR="0">
            <wp:extent cx="4585923" cy="3598941"/>
            <wp:effectExtent l="0" t="0" r="0" b="0"/>
            <wp:docPr id="1073741843" name="officeArt object" descr="Picture 20"/>
            <wp:cNvGraphicFramePr/>
            <a:graphic xmlns:a="http://schemas.openxmlformats.org/drawingml/2006/main">
              <a:graphicData uri="http://schemas.openxmlformats.org/drawingml/2006/picture">
                <pic:pic xmlns:pic="http://schemas.openxmlformats.org/drawingml/2006/picture">
                  <pic:nvPicPr>
                    <pic:cNvPr id="1073741843" name="Picture 20" descr="Picture 20"/>
                    <pic:cNvPicPr>
                      <a:picLocks noChangeAspect="1"/>
                    </pic:cNvPicPr>
                  </pic:nvPicPr>
                  <pic:blipFill>
                    <a:blip r:embed="rId22">
                      <a:extLst/>
                    </a:blip>
                    <a:stretch>
                      <a:fillRect/>
                    </a:stretch>
                  </pic:blipFill>
                  <pic:spPr>
                    <a:xfrm>
                      <a:off x="0" y="0"/>
                      <a:ext cx="4585923" cy="3598941"/>
                    </a:xfrm>
                    <a:prstGeom prst="rect">
                      <a:avLst/>
                    </a:prstGeom>
                    <a:ln w="12700" cap="flat">
                      <a:noFill/>
                      <a:miter lim="400000"/>
                    </a:ln>
                    <a:effectLst/>
                  </pic:spPr>
                </pic:pic>
              </a:graphicData>
            </a:graphic>
          </wp:inline>
        </w:drawing>
      </w:r>
    </w:p>
    <w:p>
      <w:pPr>
        <w:pStyle w:val="Body"/>
      </w:pPr>
    </w:p>
    <w:p>
      <w:pPr>
        <w:pStyle w:val="Heading"/>
      </w:pPr>
      <w:r>
        <w:rPr>
          <w:rtl w:val="0"/>
          <w:lang w:val="en-US"/>
        </w:rPr>
        <w:t>Cost Structure for Cotton</w:t>
      </w:r>
    </w:p>
    <w:p>
      <w:pPr>
        <w:pStyle w:val="Body"/>
      </w:pPr>
      <w:r>
        <w:rPr>
          <w:rtl w:val="0"/>
          <w:lang w:val="en-US"/>
        </w:rPr>
        <w:t>This pie chart breaks down the major operational costs for Cotton. It highlights the primary drivers of expense for cultivating this specific crop.</w:t>
      </w:r>
    </w:p>
    <w:p>
      <w:pPr>
        <w:pStyle w:val="Body"/>
      </w:pPr>
      <w:r>
        <w:drawing xmlns:a="http://schemas.openxmlformats.org/drawingml/2006/main">
          <wp:inline distT="0" distB="0" distL="0" distR="0">
            <wp:extent cx="4635107" cy="3594795"/>
            <wp:effectExtent l="0" t="0" r="0" b="0"/>
            <wp:docPr id="1073741844" name="officeArt object" descr="Picture 21"/>
            <wp:cNvGraphicFramePr/>
            <a:graphic xmlns:a="http://schemas.openxmlformats.org/drawingml/2006/main">
              <a:graphicData uri="http://schemas.openxmlformats.org/drawingml/2006/picture">
                <pic:pic xmlns:pic="http://schemas.openxmlformats.org/drawingml/2006/picture">
                  <pic:nvPicPr>
                    <pic:cNvPr id="1073741844" name="Picture 21" descr="Picture 21"/>
                    <pic:cNvPicPr>
                      <a:picLocks noChangeAspect="1"/>
                    </pic:cNvPicPr>
                  </pic:nvPicPr>
                  <pic:blipFill>
                    <a:blip r:embed="rId23">
                      <a:extLst/>
                    </a:blip>
                    <a:stretch>
                      <a:fillRect/>
                    </a:stretch>
                  </pic:blipFill>
                  <pic:spPr>
                    <a:xfrm>
                      <a:off x="0" y="0"/>
                      <a:ext cx="4635107" cy="3594795"/>
                    </a:xfrm>
                    <a:prstGeom prst="rect">
                      <a:avLst/>
                    </a:prstGeom>
                    <a:ln w="12700" cap="flat">
                      <a:noFill/>
                      <a:miter lim="400000"/>
                    </a:ln>
                    <a:effectLst/>
                  </pic:spPr>
                </pic:pic>
              </a:graphicData>
            </a:graphic>
          </wp:inline>
        </w:drawing>
      </w:r>
    </w:p>
    <w:p>
      <w:pPr>
        <w:pStyle w:val="Body"/>
      </w:pPr>
    </w:p>
    <w:p>
      <w:pPr>
        <w:pStyle w:val="Heading"/>
      </w:pPr>
      <w:r>
        <w:rPr>
          <w:rtl w:val="0"/>
          <w:lang w:val="en-US"/>
        </w:rPr>
        <w:t>Paddy Profitability by State</w:t>
      </w:r>
    </w:p>
    <w:p>
      <w:pPr>
        <w:pStyle w:val="Body"/>
      </w:pPr>
      <w:r>
        <w:rPr>
          <w:rtl w:val="0"/>
          <w:lang w:val="en-US"/>
        </w:rPr>
        <w:t>This chart compares the average profitability of Paddy cultivation across the top 5 producing states (by data volume). It shows that even for the same crop, profitability varies dramatically by region.</w:t>
      </w:r>
    </w:p>
    <w:p>
      <w:pPr>
        <w:pStyle w:val="Body"/>
      </w:pPr>
      <w:r>
        <w:drawing xmlns:a="http://schemas.openxmlformats.org/drawingml/2006/main">
          <wp:inline distT="0" distB="0" distL="0" distR="0">
            <wp:extent cx="5486400" cy="3462243"/>
            <wp:effectExtent l="0" t="0" r="0" b="0"/>
            <wp:docPr id="1073741845" name="officeArt object" descr="Picture 22"/>
            <wp:cNvGraphicFramePr/>
            <a:graphic xmlns:a="http://schemas.openxmlformats.org/drawingml/2006/main">
              <a:graphicData uri="http://schemas.openxmlformats.org/drawingml/2006/picture">
                <pic:pic xmlns:pic="http://schemas.openxmlformats.org/drawingml/2006/picture">
                  <pic:nvPicPr>
                    <pic:cNvPr id="1073741845" name="Picture 22" descr="Picture 22"/>
                    <pic:cNvPicPr>
                      <a:picLocks noChangeAspect="1"/>
                    </pic:cNvPicPr>
                  </pic:nvPicPr>
                  <pic:blipFill>
                    <a:blip r:embed="rId24">
                      <a:extLst/>
                    </a:blip>
                    <a:stretch>
                      <a:fillRect/>
                    </a:stretch>
                  </pic:blipFill>
                  <pic:spPr>
                    <a:xfrm>
                      <a:off x="0" y="0"/>
                      <a:ext cx="5486400" cy="3462243"/>
                    </a:xfrm>
                    <a:prstGeom prst="rect">
                      <a:avLst/>
                    </a:prstGeom>
                    <a:ln w="12700" cap="flat">
                      <a:noFill/>
                      <a:miter lim="400000"/>
                    </a:ln>
                    <a:effectLst/>
                  </pic:spPr>
                </pic:pic>
              </a:graphicData>
            </a:graphic>
          </wp:inline>
        </w:drawing>
      </w:r>
    </w:p>
    <w:p>
      <w:pPr>
        <w:pStyle w:val="Body"/>
      </w:pPr>
    </w:p>
    <w:p>
      <w:pPr>
        <w:pStyle w:val="Heading"/>
      </w:pPr>
      <w:r>
        <w:rPr>
          <w:rtl w:val="0"/>
          <w:lang w:val="en-US"/>
        </w:rPr>
        <w:t>Wheat: Fertilizer vs. Yield</w:t>
      </w:r>
    </w:p>
    <w:p>
      <w:pPr>
        <w:pStyle w:val="Body"/>
      </w:pPr>
      <w:r>
        <w:rPr>
          <w:rtl w:val="0"/>
          <w:lang w:val="en-US"/>
        </w:rPr>
        <w:t>This scatter plot specifically examines the relationship between money spent on fertilizer and the resulting yield for Wheat. It helps analyze the efficiency of input use for a key crop.</w:t>
      </w:r>
    </w:p>
    <w:p>
      <w:pPr>
        <w:pStyle w:val="Body"/>
      </w:pPr>
      <w:r>
        <w:drawing xmlns:a="http://schemas.openxmlformats.org/drawingml/2006/main">
          <wp:inline distT="0" distB="0" distL="0" distR="0">
            <wp:extent cx="5486400" cy="3872429"/>
            <wp:effectExtent l="0" t="0" r="0" b="0"/>
            <wp:docPr id="1073741846" name="officeArt object" descr="Picture 23"/>
            <wp:cNvGraphicFramePr/>
            <a:graphic xmlns:a="http://schemas.openxmlformats.org/drawingml/2006/main">
              <a:graphicData uri="http://schemas.openxmlformats.org/drawingml/2006/picture">
                <pic:pic xmlns:pic="http://schemas.openxmlformats.org/drawingml/2006/picture">
                  <pic:nvPicPr>
                    <pic:cNvPr id="1073741846" name="Picture 23" descr="Picture 23"/>
                    <pic:cNvPicPr>
                      <a:picLocks noChangeAspect="1"/>
                    </pic:cNvPicPr>
                  </pic:nvPicPr>
                  <pic:blipFill>
                    <a:blip r:embed="rId25">
                      <a:extLst/>
                    </a:blip>
                    <a:stretch>
                      <a:fillRect/>
                    </a:stretch>
                  </pic:blipFill>
                  <pic:spPr>
                    <a:xfrm>
                      <a:off x="0" y="0"/>
                      <a:ext cx="5486400" cy="3872429"/>
                    </a:xfrm>
                    <a:prstGeom prst="rect">
                      <a:avLst/>
                    </a:prstGeom>
                    <a:ln w="12700" cap="flat">
                      <a:noFill/>
                      <a:miter lim="400000"/>
                    </a:ln>
                    <a:effectLst/>
                  </pic:spPr>
                </pic:pic>
              </a:graphicData>
            </a:graphic>
          </wp:inline>
        </w:drawing>
      </w:r>
      <w:r/>
    </w:p>
    <w:sectPr>
      <w:headerReference w:type="default" r:id="rId26"/>
      <w:footerReference w:type="default" r:id="rId27"/>
      <w:pgSz w:w="12240" w:h="15840" w:orient="portrait"/>
      <w:pgMar w:top="567" w:right="1417" w:bottom="567" w:left="141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17365d"/>
      <w:spacing w:val="5"/>
      <w:kern w:val="28"/>
      <w:position w:val="0"/>
      <w:sz w:val="52"/>
      <w:szCs w:val="52"/>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