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0B2545" w:val="clear"/>
            <w:tcMar>
              <w:top w:type="dxa" w:w="800"/>
              <w:left w:type="dxa" w:w="1440"/>
              <w:bottom w:type="dxa" w:w="800"/>
              <w:right w:type="dxa" w:w="1440"/>
            </w:tcMar>
          </w:tcPr>
          <w:p>
            <w:pPr>
              <w:spacing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C9973A"/>
                <w:sz w:val="20"/>
                <w:szCs w:val="20"/>
              </w:rPr>
              <w:t xml:space="preserve">DATA SCIENCE PROJECT REPORT</w:t>
            </w:r>
          </w:p>
          <w:p>
            <w:pPr>
              <w:spacing w:after="20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72"/>
                <w:szCs w:val="72"/>
              </w:rPr>
              <w:t xml:space="preserve">Insurance Charges</w:t>
            </w:r>
          </w:p>
          <w:p>
            <w:pPr>
              <w:spacing w:after="80"/>
              <w:jc w:val="left"/>
            </w:pPr>
            <w:r>
              <w:rPr>
                <w:rFonts w:ascii="Georgia" w:cs="Georgia" w:eastAsia="Georgia" w:hAnsi="Georgia"/>
                <w:color w:val="A8C8D8"/>
                <w:sz w:val="52"/>
                <w:szCs w:val="52"/>
              </w:rPr>
              <w:t xml:space="preserve">Analysis &amp; Prediction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C9973A"/>
                <w:sz w:val="20"/>
                <w:szCs w:val="20"/>
              </w:rPr>
              <w:t xml:space="preserve">─────────────────────────────────</w:t>
            </w:r>
          </w:p>
        </w:tc>
      </w:tr>
    </w:tbl>
    <w:p>
      <w:pPr>
        <w:spacing w:after="4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137A8F" w:sz="3"/>
              <w:left w:val="none"/>
              <w:bottom w:val="single" w:color="137A8F" w:sz="3"/>
              <w:right w:val="none"/>
            </w:tcBorders>
            <w:shd w:fill="F7F9FC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color w:val="0B2545"/>
                <w:sz w:val="26"/>
                <w:szCs w:val="26"/>
              </w:rPr>
              <w:t xml:space="preserve">Abstract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This report presents an exploratory data analysis and predictive modeling study on medical insurance charges. Using demographic and lifestyle variables — including age, sex, BMI, smoking status, region, and number of dependents — we investigate the key drivers of treatment costs and evaluate three regression models: Linear Regression, Polynomial Regression, and Random Forest. Our findings show smoking status and BMI are the dominant cost predictors, with ensemble and polynomial methods substantially outperforming the linear baseline.</w:t>
            </w:r>
          </w:p>
        </w:tc>
      </w:tr>
    </w:tbl>
    <w:p>
      <w:pPr>
        <w:spacing w:after="4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  <w:shd w:fill="0B254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ACCDD"/>
                <w:sz w:val="16"/>
                <w:szCs w:val="16"/>
              </w:rPr>
              <w:t xml:space="preserve">DOMAIN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Healthcare / Insurance</w:t>
            </w:r>
          </w:p>
        </w:tc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  <w:shd w:fill="137A8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ACCDD"/>
                <w:sz w:val="16"/>
                <w:szCs w:val="16"/>
              </w:rPr>
              <w:t xml:space="preserve">METHODS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EDA · Regression · ML</w:t>
            </w:r>
          </w:p>
        </w:tc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  <w:shd w:fill="0B254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ACCDD"/>
                <w:sz w:val="16"/>
                <w:szCs w:val="16"/>
              </w:rPr>
              <w:t xml:space="preserve">LANGUAGE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Python · scikit-learn</w:t>
            </w:r>
          </w:p>
        </w:tc>
      </w:tr>
    </w:tbl>
    <w:p>
      <w:r>
        <w:br w:type="page"/>
      </w:r>
    </w:p>
    <w:p>
      <w:pPr>
        <w:pageBreakBefore/>
        <w:pBdr>
          <w:left w:val="single" w:color="0B2545" w:sz="24" w:space="12"/>
        </w:pBdr>
        <w:spacing w:before="480" w:after="160"/>
        <w:ind w:left="240"/>
      </w:pPr>
      <w:r>
        <w:rPr>
          <w:rFonts w:ascii="Georgia" w:cs="Georgia" w:eastAsia="Georgia" w:hAnsi="Georgia"/>
          <w:b/>
          <w:bCs/>
          <w:color w:val="C9973A"/>
          <w:sz w:val="28"/>
          <w:szCs w:val="28"/>
        </w:rPr>
        <w:t xml:space="preserve">01   </w:t>
      </w:r>
      <w:r>
        <w:rPr>
          <w:rFonts w:ascii="Georgia" w:cs="Georgia" w:eastAsia="Georgia" w:hAnsi="Georgia"/>
          <w:b/>
          <w:bCs/>
          <w:color w:val="0B2545"/>
          <w:sz w:val="34"/>
          <w:szCs w:val="34"/>
        </w:rPr>
        <w:t xml:space="preserve">Introduction</w:t>
      </w:r>
    </w:p>
    <w:p>
      <w:pPr>
        <w:pBdr>
          <w:bottom w:val="single" w:color="C9973A" w:sz="12" w:space="1"/>
        </w:pBdr>
        <w:spacing w:before="0" w:after="240"/>
      </w:pPr>
      <w:r>
        <w:t xml:space="preserve"/>
      </w:r>
    </w:p>
    <w:p>
      <w:pPr>
        <w:spacing w:after="140"/>
        <w:ind w:firstLine="0"/>
        <w:jc w:val="both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Medical insurance costs are shaped by a complex interplay of demographic, lifestyle, and geographic variables. Understanding these relationships is valuable for insurers, healthcare providers, and policymakers alike.</w:t>
      </w:r>
    </w:p>
    <w:p>
      <w:pPr>
        <w:spacing w:after="140"/>
        <w:ind w:firstLine="0"/>
        <w:jc w:val="both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This project applies exploratory data analysis and supervised machine learning to a dataset of 1,338 insurance beneficiaries. We identify the most influential cost drivers, visualise their effects, and build predictive regression models to estimate individual treatment charges.</w:t>
      </w:r>
    </w:p>
    <w:p>
      <w:pPr>
        <w:spacing w:after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37A8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shd w:fill="E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B2545"/>
                <w:sz w:val="21"/>
                <w:szCs w:val="21"/>
              </w:rPr>
              <w:t xml:space="preserve">Predict medical insurance charges from patient demographics and lifestyle factors using regression models.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  <w:pBdr>
          <w:left w:val="single" w:color="0B2545" w:sz="24" w:space="12"/>
        </w:pBdr>
        <w:spacing w:before="480" w:after="160"/>
        <w:ind w:left="240"/>
      </w:pPr>
      <w:r>
        <w:rPr>
          <w:rFonts w:ascii="Georgia" w:cs="Georgia" w:eastAsia="Georgia" w:hAnsi="Georgia"/>
          <w:b/>
          <w:bCs/>
          <w:color w:val="C9973A"/>
          <w:sz w:val="28"/>
          <w:szCs w:val="28"/>
        </w:rPr>
        <w:t xml:space="preserve">02   </w:t>
      </w:r>
      <w:r>
        <w:rPr>
          <w:rFonts w:ascii="Georgia" w:cs="Georgia" w:eastAsia="Georgia" w:hAnsi="Georgia"/>
          <w:b/>
          <w:bCs/>
          <w:color w:val="0B2545"/>
          <w:sz w:val="34"/>
          <w:szCs w:val="34"/>
        </w:rPr>
        <w:t xml:space="preserve">Dataset Overview</w:t>
      </w:r>
    </w:p>
    <w:p>
      <w:pPr>
        <w:pBdr>
          <w:bottom w:val="single" w:color="C9973A" w:sz="12" w:space="1"/>
        </w:pBdr>
        <w:spacing w:before="0" w:after="240"/>
      </w:pPr>
      <w:r>
        <w:t xml:space="preserve"/>
      </w:r>
    </w:p>
    <w:p>
      <w:pPr>
        <w:spacing w:after="140"/>
        <w:ind w:firstLine="0"/>
        <w:jc w:val="both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dataset contains 1,338 records with no missing values, making it well-suited for clean exploratory analysis. Features were label-encoded for categorical variables before modelling.</w:t>
      </w:r>
    </w:p>
    <w:p>
      <w:pPr>
        <w:spacing w:after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44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B254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B254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40"/>
            <w:tcBorders>
              <w:top w:val="none"/>
              <w:left w:val="none"/>
              <w:bottom w:val="none"/>
              <w:right w:val="none"/>
            </w:tcBorders>
            <w:shd w:fill="0B254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0DCE8" w:sz="1"/>
              <w:right w:val="none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Age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D0DCE8" w:sz="1"/>
              <w:right w:val="none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37A8F"/>
                <w:sz w:val="20"/>
                <w:szCs w:val="20"/>
              </w:rPr>
              <w:t xml:space="preserve">Numeric</w:t>
            </w:r>
          </w:p>
        </w:tc>
        <w:tc>
          <w:tcPr>
            <w:tcW w:type="dxa" w:w="4440"/>
            <w:tcBorders>
              <w:top w:val="none"/>
              <w:left w:val="none"/>
              <w:bottom w:val="single" w:color="D0DCE8" w:sz="1"/>
              <w:right w:val="none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Patient age, 18–64 years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Sex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37A8F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44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Male / Female (encoded 0/1)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0DCE8" w:sz="1"/>
              <w:right w:val="none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BMI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D0DCE8" w:sz="1"/>
              <w:right w:val="none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37A8F"/>
                <w:sz w:val="20"/>
                <w:szCs w:val="20"/>
              </w:rPr>
              <w:t xml:space="preserve">Numeric</w:t>
            </w:r>
          </w:p>
        </w:tc>
        <w:tc>
          <w:tcPr>
            <w:tcW w:type="dxa" w:w="4440"/>
            <w:tcBorders>
              <w:top w:val="none"/>
              <w:left w:val="none"/>
              <w:bottom w:val="single" w:color="D0DCE8" w:sz="1"/>
              <w:right w:val="none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Body Mass Index; obesity threshold ≥ 30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Children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37A8F"/>
                <w:sz w:val="20"/>
                <w:szCs w:val="20"/>
              </w:rPr>
              <w:t xml:space="preserve">Numeric</w:t>
            </w:r>
          </w:p>
        </w:tc>
        <w:tc>
          <w:tcPr>
            <w:tcW w:type="dxa" w:w="444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Number of dependents (0–5)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0DCE8" w:sz="1"/>
              <w:right w:val="none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Smoker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D0DCE8" w:sz="1"/>
              <w:right w:val="none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37A8F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440"/>
            <w:tcBorders>
              <w:top w:val="none"/>
              <w:left w:val="none"/>
              <w:bottom w:val="single" w:color="D0DCE8" w:sz="1"/>
              <w:right w:val="none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Whether patient smokes (encoded 0/1)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Region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37A8F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440"/>
            <w:tcBorders>
              <w:top w:val="none"/>
              <w:left w:val="none"/>
              <w:bottom w:val="single" w:color="D0DCE8" w:sz="1"/>
              <w:right w:val="none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Geographic region (label encoded)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0DCE8" w:sz="1"/>
              <w:right w:val="none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Charges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D0DCE8" w:sz="1"/>
              <w:right w:val="none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37A8F"/>
                <w:sz w:val="20"/>
                <w:szCs w:val="20"/>
              </w:rPr>
              <w:t xml:space="preserve">Numeric</w:t>
            </w:r>
          </w:p>
        </w:tc>
        <w:tc>
          <w:tcPr>
            <w:tcW w:type="dxa" w:w="4440"/>
            <w:tcBorders>
              <w:top w:val="none"/>
              <w:left w:val="none"/>
              <w:bottom w:val="single" w:color="D0DCE8" w:sz="1"/>
              <w:right w:val="none"/>
            </w:tcBorders>
            <w:shd w:fill="F7F9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Medical treatment cost — TARGET variable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  <w:pBdr>
          <w:left w:val="single" w:color="0B2545" w:sz="24" w:space="12"/>
        </w:pBdr>
        <w:spacing w:before="480" w:after="160"/>
        <w:ind w:left="240"/>
      </w:pPr>
      <w:r>
        <w:rPr>
          <w:rFonts w:ascii="Georgia" w:cs="Georgia" w:eastAsia="Georgia" w:hAnsi="Georgia"/>
          <w:b/>
          <w:bCs/>
          <w:color w:val="C9973A"/>
          <w:sz w:val="28"/>
          <w:szCs w:val="28"/>
        </w:rPr>
        <w:t xml:space="preserve">03   </w:t>
      </w:r>
      <w:r>
        <w:rPr>
          <w:rFonts w:ascii="Georgia" w:cs="Georgia" w:eastAsia="Georgia" w:hAnsi="Georgia"/>
          <w:b/>
          <w:bCs/>
          <w:color w:val="0B2545"/>
          <w:sz w:val="34"/>
          <w:szCs w:val="34"/>
        </w:rPr>
        <w:t xml:space="preserve">Exploratory Analysis</w:t>
      </w:r>
    </w:p>
    <w:p>
      <w:pPr>
        <w:pBdr>
          <w:bottom w:val="single" w:color="C9973A" w:sz="12" w:space="1"/>
        </w:pBdr>
        <w:spacing w:before="0" w:after="240"/>
      </w:pPr>
      <w:r>
        <w:t xml:space="preserve"/>
      </w:r>
    </w:p>
    <w:p>
      <w:pPr>
        <w:spacing w:after="140"/>
        <w:ind w:firstLine="0"/>
        <w:jc w:val="both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following visualisations were produced during exploratory data analysis. Each chart reveals a distinct dimension of how patient attributes relate to treatment costs.</w:t>
      </w:r>
    </w:p>
    <w:p>
      <w:pPr>
        <w:spacing w:after="100"/>
      </w:pPr>
      <w:r>
        <w:t xml:space="preserve"/>
      </w:r>
    </w:p>
    <w:p>
      <w:pPr>
        <w:pBdr>
          <w:bottom w:val="single" w:color="E0F4F8" w:sz="3" w:space="1"/>
        </w:pBdr>
        <w:spacing w:before="320" w:after="120"/>
      </w:pPr>
      <w:r>
        <w:rPr>
          <w:rFonts w:ascii="Georgia" w:cs="Georgia" w:eastAsia="Georgia" w:hAnsi="Georgia"/>
          <w:b/>
          <w:bCs/>
          <w:color w:val="137A8F"/>
          <w:sz w:val="26"/>
          <w:szCs w:val="26"/>
        </w:rPr>
        <w:t xml:space="preserve">3.1  Correlation &amp; Overview</w:t>
      </w:r>
    </w:p>
    <w:p>
      <w:pPr>
        <w:spacing w:before="160" w:after="60"/>
        <w:jc w:val="center"/>
      </w:pPr>
      <w:r>
        <w:drawing>
          <wp:inline distT="0" distB="0" distL="0" distR="0">
            <wp:extent cx="5124450" cy="4476750"/>
            <wp:effectExtent t="0" r="0" b="0" l="0"/>
            <wp:docPr id="1" name="/home/claude/report_images/img_00.png" descr="/home/claude/report_images/img_00.png" title="/home/claude/report_images/img_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cs="Calibri" w:eastAsia="Calibri" w:hAnsi="Calibri"/>
          <w:i/>
          <w:iCs/>
          <w:color w:val="8898AA"/>
          <w:sz w:val="18"/>
          <w:szCs w:val="18"/>
        </w:rPr>
        <w:t xml:space="preserve">Figure 1. Feature Correlation Heatmap — Smoker status and age show the strongest positive correlation with charges. Region has negligible impact.</w:t>
      </w:r>
    </w:p>
    <w:p>
      <w:pPr>
        <w:pBdr>
          <w:bottom w:val="single" w:color="E0F4F8" w:sz="3" w:space="1"/>
        </w:pBdr>
        <w:spacing w:before="320" w:after="120"/>
      </w:pPr>
      <w:r>
        <w:rPr>
          <w:rFonts w:ascii="Georgia" w:cs="Georgia" w:eastAsia="Georgia" w:hAnsi="Georgia"/>
          <w:b/>
          <w:bCs/>
          <w:color w:val="137A8F"/>
          <w:sz w:val="26"/>
          <w:szCs w:val="26"/>
        </w:rPr>
        <w:t xml:space="preserve">3.2  Smoking Impact</w:t>
      </w:r>
    </w:p>
    <w:p>
      <w:pPr>
        <w:spacing w:before="160" w:after="60"/>
        <w:jc w:val="center"/>
      </w:pPr>
      <w:r>
        <w:drawing>
          <wp:inline distT="0" distB="0" distL="0" distR="0">
            <wp:extent cx="6143625" cy="2762250"/>
            <wp:effectExtent t="0" r="0" b="0" l="0"/>
            <wp:docPr id="1" name="/home/claude/report_images/img_01.png" descr="/home/claude/report_images/img_01.png" title="/home/claude/report_images/img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cs="Calibri" w:eastAsia="Calibri" w:hAnsi="Calibri"/>
          <w:i/>
          <w:iCs/>
          <w:color w:val="8898AA"/>
          <w:sz w:val="18"/>
          <w:szCs w:val="18"/>
        </w:rPr>
        <w:t xml:space="preserve">Figure 2. Charge Distribution: Smokers vs Non-Smokers — Smokers show a bimodal distribution with a secondary peak above $30,000, absent in non-smokers.</w:t>
      </w:r>
    </w:p>
    <w:p>
      <w:pPr>
        <w:spacing w:before="160" w:after="60"/>
        <w:jc w:val="center"/>
      </w:pPr>
      <w:r>
        <w:drawing>
          <wp:inline distT="0" distB="0" distL="0" distR="0">
            <wp:extent cx="3905250" cy="3352800"/>
            <wp:effectExtent t="0" r="0" b="0" l="0"/>
            <wp:docPr id="1" name="/home/claude/report_images/img_02.png" descr="/home/claude/report_images/img_02.png" title="/home/claude/report_images/img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cs="Calibri" w:eastAsia="Calibri" w:hAnsi="Calibri"/>
          <w:i/>
          <w:iCs/>
          <w:color w:val="8898AA"/>
          <w:sz w:val="18"/>
          <w:szCs w:val="18"/>
        </w:rPr>
        <w:t xml:space="preserve">Figure 3. Smoker Count by Sex — Male smokers outnumber female smokers, contributing to higher average male treatment costs.</w:t>
      </w:r>
    </w:p>
    <w:p>
      <w:pPr>
        <w:spacing w:before="160" w:after="60"/>
        <w:jc w:val="center"/>
      </w:pPr>
      <w:r>
        <w:drawing>
          <wp:inline distT="0" distB="0" distL="0" distR="0">
            <wp:extent cx="3762375" cy="3352800"/>
            <wp:effectExtent t="0" r="0" b="0" l="0"/>
            <wp:docPr id="1" name="/home/claude/report_images/img_03.png" descr="/home/claude/report_images/img_03.png" title="/home/claude/report_images/img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cs="Calibri" w:eastAsia="Calibri" w:hAnsi="Calibri"/>
          <w:i/>
          <w:iCs/>
          <w:color w:val="8898AA"/>
          <w:sz w:val="18"/>
          <w:szCs w:val="18"/>
        </w:rPr>
        <w:t xml:space="preserve">Figure 4. Charge Distribution by Sex &amp; Smoking (Violin) — Smokers of both sexes exhibit drastically wider charge distributions and higher medians.</w:t>
      </w:r>
    </w:p>
    <w:p>
      <w:pPr>
        <w:spacing w:before="160" w:after="60"/>
        <w:jc w:val="center"/>
      </w:pPr>
      <w:r>
        <w:drawing>
          <wp:inline distT="0" distB="0" distL="0" distR="0">
            <wp:extent cx="6143625" cy="2867025"/>
            <wp:effectExtent t="0" r="0" b="0" l="0"/>
            <wp:docPr id="1" name="/home/claude/report_images/img_04.png" descr="/home/claude/report_images/img_04.png" title="/home/claude/report_images/img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cs="Calibri" w:eastAsia="Calibri" w:hAnsi="Calibri"/>
          <w:i/>
          <w:iCs/>
          <w:color w:val="8898AA"/>
          <w:sz w:val="18"/>
          <w:szCs w:val="18"/>
        </w:rPr>
        <w:t xml:space="preserve">Figure 5. Box Plot — Charges for Women — Smoking women pay dramatically more, with far more high-cost outliers than non-smoking counterparts.</w:t>
      </w:r>
    </w:p>
    <w:p>
      <w:pPr>
        <w:spacing w:before="160" w:after="60"/>
        <w:jc w:val="center"/>
      </w:pPr>
      <w:r>
        <w:drawing>
          <wp:inline distT="0" distB="0" distL="0" distR="0">
            <wp:extent cx="6143625" cy="2867025"/>
            <wp:effectExtent t="0" r="0" b="0" l="0"/>
            <wp:docPr id="1" name="/home/claude/report_images/img_05.png" descr="/home/claude/report_images/img_05.png" title="/home/claude/report_images/img_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cs="Calibri" w:eastAsia="Calibri" w:hAnsi="Calibri"/>
          <w:i/>
          <w:iCs/>
          <w:color w:val="8898AA"/>
          <w:sz w:val="18"/>
          <w:szCs w:val="18"/>
        </w:rPr>
        <w:t xml:space="preserve">Figure 6. Box Plot — Charges for Men — Men exhibit the same smoking-cost pattern, with slightly higher upper-range outliers than women.</w:t>
      </w:r>
    </w:p>
    <w:p>
      <w:pPr>
        <w:pBdr>
          <w:bottom w:val="single" w:color="E0F4F8" w:sz="3" w:space="1"/>
        </w:pBdr>
        <w:spacing w:before="320" w:after="120"/>
      </w:pPr>
      <w:r>
        <w:rPr>
          <w:rFonts w:ascii="Georgia" w:cs="Georgia" w:eastAsia="Georgia" w:hAnsi="Georgia"/>
          <w:b/>
          <w:bCs/>
          <w:color w:val="137A8F"/>
          <w:sz w:val="26"/>
          <w:szCs w:val="26"/>
        </w:rPr>
        <w:t xml:space="preserve">3.3  Age Analysis</w:t>
      </w:r>
    </w:p>
    <w:p>
      <w:pPr>
        <w:spacing w:before="160" w:after="60"/>
        <w:jc w:val="center"/>
      </w:pPr>
      <w:r>
        <w:drawing>
          <wp:inline distT="0" distB="0" distL="0" distR="0">
            <wp:extent cx="6143625" cy="2828925"/>
            <wp:effectExtent t="0" r="0" b="0" l="0"/>
            <wp:docPr id="1" name="/home/claude/report_images/img_06.png" descr="/home/claude/report_images/img_06.png" title="/home/claude/report_images/img_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cs="Calibri" w:eastAsia="Calibri" w:hAnsi="Calibri"/>
          <w:i/>
          <w:iCs/>
          <w:color w:val="8898AA"/>
          <w:sz w:val="18"/>
          <w:szCs w:val="18"/>
        </w:rPr>
        <w:t xml:space="preserve">Figure 7. Age Distribution of Patients — Patients are aged 18–64. The distribution is broadly uniform, slightly right-skewed above 50.</w:t>
      </w:r>
    </w:p>
    <w:p>
      <w:pPr>
        <w:spacing w:before="160" w:after="60"/>
        <w:jc w:val="center"/>
      </w:pPr>
      <w:r>
        <w:drawing>
          <wp:inline distT="0" distB="0" distL="0" distR="0">
            <wp:extent cx="4210050" cy="4057650"/>
            <wp:effectExtent t="0" r="0" b="0" l="0"/>
            <wp:docPr id="1" name="/home/claude/report_images/img_07.png" descr="/home/claude/report_images/img_07.png" title="/home/claude/report_images/img_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cs="Calibri" w:eastAsia="Calibri" w:hAnsi="Calibri"/>
          <w:i/>
          <w:iCs/>
          <w:color w:val="8898AA"/>
          <w:sz w:val="18"/>
          <w:szCs w:val="18"/>
        </w:rPr>
        <w:t xml:space="preserve">Figure 8. Age vs Charges — Non-Smokers (KDE) — For non-smokers, charges rise gradually with age. The relationship is consistent and predictable.</w:t>
      </w:r>
    </w:p>
    <w:p>
      <w:pPr>
        <w:spacing w:before="160" w:after="60"/>
        <w:jc w:val="center"/>
      </w:pPr>
      <w:r>
        <w:drawing>
          <wp:inline distT="0" distB="0" distL="0" distR="0">
            <wp:extent cx="4210050" cy="4057650"/>
            <wp:effectExtent t="0" r="0" b="0" l="0"/>
            <wp:docPr id="1" name="/home/claude/report_images/img_08.png" descr="/home/claude/report_images/img_08.png" title="/home/claude/report_images/img_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cs="Calibri" w:eastAsia="Calibri" w:hAnsi="Calibri"/>
          <w:i/>
          <w:iCs/>
          <w:color w:val="8898AA"/>
          <w:sz w:val="18"/>
          <w:szCs w:val="18"/>
        </w:rPr>
        <w:t xml:space="preserve">Figure 9. Age vs Charges — Smokers (KDE) — Smokers show a higher and more volatile charge distribution across all age groups.</w:t>
      </w:r>
    </w:p>
    <w:p>
      <w:pPr>
        <w:spacing w:before="160" w:after="60"/>
        <w:jc w:val="center"/>
      </w:pPr>
      <w:r>
        <w:drawing>
          <wp:inline distT="0" distB="0" distL="0" distR="0">
            <wp:extent cx="5153025" cy="4724400"/>
            <wp:effectExtent t="0" r="0" b="0" l="0"/>
            <wp:docPr id="1" name="/home/claude/report_images/img_09.png" descr="/home/claude/report_images/img_09.png" title="/home/claude/report_images/img_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cs="Calibri" w:eastAsia="Calibri" w:hAnsi="Calibri"/>
          <w:i/>
          <w:iCs/>
          <w:color w:val="8898AA"/>
          <w:sz w:val="18"/>
          <w:szCs w:val="18"/>
        </w:rPr>
        <w:t xml:space="preserve">Figure 10. Age vs Charges — Linear Regression Lines — Regression lines confirm smokers occupy a permanently elevated cost band, widening with age.</w:t>
      </w:r>
    </w:p>
    <w:p>
      <w:pPr>
        <w:pBdr>
          <w:bottom w:val="single" w:color="E0F4F8" w:sz="3" w:space="1"/>
        </w:pBdr>
        <w:spacing w:before="320" w:after="120"/>
      </w:pPr>
      <w:r>
        <w:rPr>
          <w:rFonts w:ascii="Georgia" w:cs="Georgia" w:eastAsia="Georgia" w:hAnsi="Georgia"/>
          <w:b/>
          <w:bCs/>
          <w:color w:val="137A8F"/>
          <w:sz w:val="26"/>
          <w:szCs w:val="26"/>
        </w:rPr>
        <w:t xml:space="preserve">3.4  BMI Analysis</w:t>
      </w:r>
    </w:p>
    <w:p>
      <w:pPr>
        <w:spacing w:before="160" w:after="60"/>
        <w:jc w:val="center"/>
      </w:pPr>
      <w:r>
        <w:drawing>
          <wp:inline distT="0" distB="0" distL="0" distR="0">
            <wp:extent cx="6143625" cy="2847975"/>
            <wp:effectExtent t="0" r="0" b="0" l="0"/>
            <wp:docPr id="1" name="/home/claude/report_images/img_10.png" descr="/home/claude/report_images/img_10.png" title="/home/claude/report_images/img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cs="Calibri" w:eastAsia="Calibri" w:hAnsi="Calibri"/>
          <w:i/>
          <w:iCs/>
          <w:color w:val="8898AA"/>
          <w:sz w:val="18"/>
          <w:szCs w:val="18"/>
        </w:rPr>
        <w:t xml:space="preserve">Figure 11. BMI Distribution — The average BMI is approximately 30 — the clinical threshold for obesity — suggesting elevated population risk.</w:t>
      </w:r>
    </w:p>
    <w:p>
      <w:pPr>
        <w:spacing w:before="160" w:after="60"/>
        <w:jc w:val="center"/>
      </w:pPr>
      <w:r>
        <w:drawing>
          <wp:inline distT="0" distB="0" distL="0" distR="0">
            <wp:extent cx="6010275" cy="3686175"/>
            <wp:effectExtent t="0" r="0" b="0" l="0"/>
            <wp:docPr id="1" name="/home/claude/report_images/img_11.png" descr="/home/claude/report_images/img_11.png" title="/home/claude/report_images/img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cs="Calibri" w:eastAsia="Calibri" w:hAnsi="Calibri"/>
          <w:i/>
          <w:iCs/>
          <w:color w:val="8898AA"/>
          <w:sz w:val="18"/>
          <w:szCs w:val="18"/>
        </w:rPr>
        <w:t xml:space="preserve">Figure 12. BMI vs Charges — Scatter &amp; Regression — Above BMI 30, smokers face exponentially higher costs. Non-smokers show a milder BMI effect.</w:t>
      </w:r>
    </w:p>
    <w:p>
      <w:pPr>
        <w:pBdr>
          <w:bottom w:val="single" w:color="E0F4F8" w:sz="3" w:space="1"/>
        </w:pBdr>
        <w:spacing w:before="320" w:after="120"/>
      </w:pPr>
      <w:r>
        <w:rPr>
          <w:rFonts w:ascii="Georgia" w:cs="Georgia" w:eastAsia="Georgia" w:hAnsi="Georgia"/>
          <w:b/>
          <w:bCs/>
          <w:color w:val="137A8F"/>
          <w:sz w:val="26"/>
          <w:szCs w:val="26"/>
        </w:rPr>
        <w:t xml:space="preserve">3.5  Other Features</w:t>
      </w:r>
    </w:p>
    <w:p>
      <w:pPr>
        <w:spacing w:before="160" w:after="60"/>
        <w:jc w:val="center"/>
      </w:pPr>
      <w:r>
        <w:drawing>
          <wp:inline distT="0" distB="0" distL="0" distR="0">
            <wp:extent cx="4171950" cy="4038600"/>
            <wp:effectExtent t="0" r="0" b="0" l="0"/>
            <wp:docPr id="1" name="/home/claude/report_images/img_12.png" descr="/home/claude/report_images/img_12.png" title="/home/claude/report_images/img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cs="Calibri" w:eastAsia="Calibri" w:hAnsi="Calibri"/>
          <w:i/>
          <w:iCs/>
          <w:color w:val="8898AA"/>
          <w:sz w:val="18"/>
          <w:szCs w:val="18"/>
        </w:rPr>
        <w:t xml:space="preserve">Figure 13. Number of Children — Most patients have 0–2 children. This feature has the weakest correlation with charges.</w:t>
      </w:r>
    </w:p>
    <w:p>
      <w:pPr>
        <w:pBdr>
          <w:bottom w:val="single" w:color="E0F4F8" w:sz="3" w:space="1"/>
        </w:pBdr>
        <w:spacing w:before="320" w:after="120"/>
      </w:pPr>
      <w:r>
        <w:rPr>
          <w:rFonts w:ascii="Georgia" w:cs="Georgia" w:eastAsia="Georgia" w:hAnsi="Georgia"/>
          <w:b/>
          <w:bCs/>
          <w:color w:val="137A8F"/>
          <w:sz w:val="26"/>
          <w:szCs w:val="26"/>
        </w:rPr>
        <w:t xml:space="preserve">3.6  Model Diagnostics</w:t>
      </w:r>
    </w:p>
    <w:p>
      <w:pPr>
        <w:spacing w:before="160" w:after="60"/>
        <w:jc w:val="center"/>
      </w:pPr>
      <w:r>
        <w:drawing>
          <wp:inline distT="0" distB="0" distL="0" distR="0">
            <wp:extent cx="6057900" cy="3571875"/>
            <wp:effectExtent t="0" r="0" b="0" l="0"/>
            <wp:docPr id="1" name="/home/claude/report_images/img_13.png" descr="/home/claude/report_images/img_13.png" title="/home/claude/report_images/img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Calibri" w:cs="Calibri" w:eastAsia="Calibri" w:hAnsi="Calibri"/>
          <w:i/>
          <w:iCs/>
          <w:color w:val="8898AA"/>
          <w:sz w:val="18"/>
          <w:szCs w:val="18"/>
        </w:rPr>
        <w:t xml:space="preserve">Figure 14. Random Forest — Residual Plot — Residuals are symmetrically distributed around zero, confirming an unbiased, well-fitted model.</w:t>
      </w:r>
    </w:p>
    <w:p>
      <w:pPr>
        <w:pageBreakBefore/>
        <w:pBdr>
          <w:left w:val="single" w:color="0B2545" w:sz="24" w:space="12"/>
        </w:pBdr>
        <w:spacing w:before="480" w:after="160"/>
        <w:ind w:left="240"/>
      </w:pPr>
      <w:r>
        <w:rPr>
          <w:rFonts w:ascii="Georgia" w:cs="Georgia" w:eastAsia="Georgia" w:hAnsi="Georgia"/>
          <w:b/>
          <w:bCs/>
          <w:color w:val="C9973A"/>
          <w:sz w:val="28"/>
          <w:szCs w:val="28"/>
        </w:rPr>
        <w:t xml:space="preserve">04   </w:t>
      </w:r>
      <w:r>
        <w:rPr>
          <w:rFonts w:ascii="Georgia" w:cs="Georgia" w:eastAsia="Georgia" w:hAnsi="Georgia"/>
          <w:b/>
          <w:bCs/>
          <w:color w:val="0B2545"/>
          <w:sz w:val="34"/>
          <w:szCs w:val="34"/>
        </w:rPr>
        <w:t xml:space="preserve">Key Findings</w:t>
      </w:r>
    </w:p>
    <w:p>
      <w:pPr>
        <w:pBdr>
          <w:bottom w:val="single" w:color="C9973A" w:sz="12" w:space="1"/>
        </w:pBdr>
        <w:spacing w:before="0" w:after="2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Smoking is the dominant cost driver.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Smokers pay 2–4× more on average, with a pronounced secondary cost cluster above $30,000.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BMI amplifies the smoking effect.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Above BMI 30, smokers face dramatically higher charges. For non-smokers the BMI impact is moderate.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Age has a steady positive effect.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Charges rise with age for all patients, but the slope is far steeper for smokers.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Sex differences are secondary.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Men pay slightly more overall, primarily due to higher smoking prevalence.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Region and children are weak predictors.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Neither variable shows meaningful correlation with charges.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No missing data.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The dataset is clean, requiring only label encoding for categorical variables.</w:t>
      </w:r>
    </w:p>
    <w:p>
      <w:pPr>
        <w:spacing w:after="200"/>
      </w:pPr>
      <w:r>
        <w:t xml:space="preserve"/>
      </w:r>
    </w:p>
    <w:p>
      <w:pPr>
        <w:pageBreakBefore/>
        <w:pBdr>
          <w:left w:val="single" w:color="0B2545" w:sz="24" w:space="12"/>
        </w:pBdr>
        <w:spacing w:before="480" w:after="160"/>
        <w:ind w:left="240"/>
      </w:pPr>
      <w:r>
        <w:rPr>
          <w:rFonts w:ascii="Georgia" w:cs="Georgia" w:eastAsia="Georgia" w:hAnsi="Georgia"/>
          <w:b/>
          <w:bCs/>
          <w:color w:val="C9973A"/>
          <w:sz w:val="28"/>
          <w:szCs w:val="28"/>
        </w:rPr>
        <w:t xml:space="preserve">05   </w:t>
      </w:r>
      <w:r>
        <w:rPr>
          <w:rFonts w:ascii="Georgia" w:cs="Georgia" w:eastAsia="Georgia" w:hAnsi="Georgia"/>
          <w:b/>
          <w:bCs/>
          <w:color w:val="0B2545"/>
          <w:sz w:val="34"/>
          <w:szCs w:val="34"/>
        </w:rPr>
        <w:t xml:space="preserve">Predictive Modelling</w:t>
      </w:r>
    </w:p>
    <w:p>
      <w:pPr>
        <w:pBdr>
          <w:bottom w:val="single" w:color="C9973A" w:sz="12" w:space="1"/>
        </w:pBdr>
        <w:spacing w:before="0" w:after="240"/>
      </w:pPr>
      <w:r>
        <w:t xml:space="preserve"/>
      </w:r>
    </w:p>
    <w:p>
      <w:pPr>
        <w:spacing w:after="140"/>
        <w:ind w:firstLine="0"/>
        <w:jc w:val="both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Three regression models were trained on an 75/25 train-test split. Polynomial features (degree 2) were constructed from all non-region variables to capture non-linear interactions.</w:t>
      </w:r>
    </w:p>
    <w:p>
      <w:pPr>
        <w:spacing w:after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1280"/>
      </w:tblGrid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254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254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R² Score</w:t>
            </w:r>
          </w:p>
        </w:tc>
        <w:tc>
          <w:tcPr>
            <w:tcW w:type="dxa" w:w="20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254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MSE</w:t>
            </w:r>
          </w:p>
        </w:tc>
        <w:tc>
          <w:tcPr>
            <w:tcW w:type="dxa" w:w="12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254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1"/>
                <w:szCs w:val="21"/>
              </w:rPr>
              <w:t xml:space="preserve">Linear Regression</w:t>
            </w:r>
          </w:p>
        </w:tc>
        <w:tc>
          <w:tcPr>
            <w:tcW w:type="dxa" w:w="20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1"/>
                <w:szCs w:val="21"/>
              </w:rPr>
              <w:t xml:space="preserve">0.78</w:t>
            </w:r>
          </w:p>
        </w:tc>
        <w:tc>
          <w:tcPr>
            <w:tcW w:type="dxa" w:w="20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1"/>
                <w:szCs w:val="21"/>
              </w:rPr>
              <w:t xml:space="preserve">High</w:t>
            </w:r>
          </w:p>
        </w:tc>
        <w:tc>
          <w:tcPr>
            <w:tcW w:type="dxa" w:w="12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1"/>
                <w:szCs w:val="21"/>
              </w:rPr>
              <w:t xml:space="preserve">#3</w:t>
            </w:r>
          </w:p>
        </w:tc>
      </w:tr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Polynomial Regression (deg 2)</w:t>
            </w:r>
          </w:p>
        </w:tc>
        <w:tc>
          <w:tcPr>
            <w:tcW w:type="dxa" w:w="20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0.87</w:t>
            </w:r>
          </w:p>
        </w:tc>
        <w:tc>
          <w:tcPr>
            <w:tcW w:type="dxa" w:w="20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Medium</w:t>
            </w:r>
          </w:p>
        </w:tc>
        <w:tc>
          <w:tcPr>
            <w:tcW w:type="dxa" w:w="12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#1</w:t>
            </w:r>
          </w:p>
        </w:tc>
      </w:tr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1"/>
                <w:szCs w:val="21"/>
              </w:rPr>
              <w:t xml:space="preserve">Random Forest (100 trees)</w:t>
            </w:r>
          </w:p>
        </w:tc>
        <w:tc>
          <w:tcPr>
            <w:tcW w:type="dxa" w:w="20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1"/>
                <w:szCs w:val="21"/>
              </w:rPr>
              <w:t xml:space="preserve">0.87+</w:t>
            </w:r>
          </w:p>
        </w:tc>
        <w:tc>
          <w:tcPr>
            <w:tcW w:type="dxa" w:w="20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1"/>
                <w:szCs w:val="21"/>
              </w:rPr>
              <w:t xml:space="preserve">Low</w:t>
            </w:r>
          </w:p>
        </w:tc>
        <w:tc>
          <w:tcPr>
            <w:tcW w:type="dxa" w:w="128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21"/>
                <w:szCs w:val="21"/>
              </w:rPr>
              <w:t xml:space="preserve">#2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37A8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MODEL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shd w:fill="E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B2545"/>
                <w:sz w:val="21"/>
                <w:szCs w:val="21"/>
              </w:rPr>
              <w:t xml:space="preserve">Polynomial Regression (deg 2) achieves the best balance of interpretability and performance with R² ≈ 0.87, capturing the non-linear smoking × BMI interaction effectively.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  <w:pBdr>
          <w:left w:val="single" w:color="0B2545" w:sz="24" w:space="12"/>
        </w:pBdr>
        <w:spacing w:before="480" w:after="160"/>
        <w:ind w:left="240"/>
      </w:pPr>
      <w:r>
        <w:rPr>
          <w:rFonts w:ascii="Georgia" w:cs="Georgia" w:eastAsia="Georgia" w:hAnsi="Georgia"/>
          <w:b/>
          <w:bCs/>
          <w:color w:val="C9973A"/>
          <w:sz w:val="28"/>
          <w:szCs w:val="28"/>
        </w:rPr>
        <w:t xml:space="preserve">06   </w:t>
      </w:r>
      <w:r>
        <w:rPr>
          <w:rFonts w:ascii="Georgia" w:cs="Georgia" w:eastAsia="Georgia" w:hAnsi="Georgia"/>
          <w:b/>
          <w:bCs/>
          <w:color w:val="0B2545"/>
          <w:sz w:val="34"/>
          <w:szCs w:val="34"/>
        </w:rPr>
        <w:t xml:space="preserve">Tech Stack &amp; Methodology</w:t>
      </w:r>
    </w:p>
    <w:p>
      <w:pPr>
        <w:pBdr>
          <w:bottom w:val="single" w:color="C9973A" w:sz="12" w:space="1"/>
        </w:pBdr>
        <w:spacing w:before="0" w:after="2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Python 3 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— core language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pandas / numpy 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— data wrangling and feature engineering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matplotlib / seaborn / bokeh 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— visualisation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scikit-learn 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— LabelEncoder, PolynomialFeatures, LinearRegression, RandomForestRegressor</w:t>
      </w:r>
    </w:p>
    <w:p>
      <w:pPr>
        <w:spacing w:after="200"/>
      </w:pPr>
      <w:r>
        <w:t xml:space="preserve"/>
      </w:r>
    </w:p>
    <w:p>
      <w:pPr>
        <w:pageBreakBefore/>
        <w:pBdr>
          <w:left w:val="single" w:color="0B2545" w:sz="24" w:space="12"/>
        </w:pBdr>
        <w:spacing w:before="480" w:after="160"/>
        <w:ind w:left="240"/>
      </w:pPr>
      <w:r>
        <w:rPr>
          <w:rFonts w:ascii="Georgia" w:cs="Georgia" w:eastAsia="Georgia" w:hAnsi="Georgia"/>
          <w:b/>
          <w:bCs/>
          <w:color w:val="C9973A"/>
          <w:sz w:val="28"/>
          <w:szCs w:val="28"/>
        </w:rPr>
        <w:t xml:space="preserve">07   </w:t>
      </w:r>
      <w:r>
        <w:rPr>
          <w:rFonts w:ascii="Georgia" w:cs="Georgia" w:eastAsia="Georgia" w:hAnsi="Georgia"/>
          <w:b/>
          <w:bCs/>
          <w:color w:val="0B2545"/>
          <w:sz w:val="34"/>
          <w:szCs w:val="34"/>
        </w:rPr>
        <w:t xml:space="preserve">Conclusion</w:t>
      </w:r>
    </w:p>
    <w:p>
      <w:pPr>
        <w:pBdr>
          <w:bottom w:val="single" w:color="C9973A" w:sz="12" w:space="1"/>
        </w:pBdr>
        <w:spacing w:before="0" w:after="240"/>
      </w:pPr>
      <w:r>
        <w:t xml:space="preserve"/>
      </w:r>
    </w:p>
    <w:p>
      <w:pPr>
        <w:spacing w:after="140"/>
        <w:ind w:firstLine="0"/>
        <w:jc w:val="both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This analysis demonstrates that medical insurance charges can be predicted with high accuracy using a small number of readily available patient attributes. Smoking status alone is a strong enough signal to stratify patients into fundamentally different cost tiers.</w:t>
      </w:r>
    </w:p>
    <w:p>
      <w:pPr>
        <w:spacing w:after="140"/>
        <w:ind w:firstLine="0"/>
        <w:jc w:val="both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Polynomial regression and Random Forest models both achieve R² ≈ 0.87, significantly outperforming the linear baseline. Further improvements could be achieved through feature interactions, additional health indicators, or gradient boosting methods.</w:t>
      </w:r>
    </w:p>
    <w:p>
      <w:pPr>
        <w:spacing w:after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</w:tblGrid>
      <w:tr>
        <w:tc>
          <w:tcPr>
            <w:tcW w:type="dxa" w:w="720"/>
            <w:tcBorders>
              <w:top w:val="none"/>
              <w:left w:val="none"/>
              <w:bottom w:val="none"/>
              <w:right w:val="none"/>
            </w:tcBorders>
            <w:shd w:fill="137A8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TAKEAWAY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shd w:fill="E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B2545"/>
                <w:sz w:val="21"/>
                <w:szCs w:val="21"/>
              </w:rPr>
              <w:t xml:space="preserve">Smoking cessation is the single most impactful lever for reducing individual insurance charges — more so than age, BMI, or any other variable in this dataset.</w:t>
            </w:r>
          </w:p>
        </w:tc>
      </w:tr>
    </w:tbl>
    <w:p>
      <w:pPr>
        <w:spacing w:after="3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E8" w:sz="4" w:space="1"/>
      </w:pBdr>
      <w:spacing w:before="80"/>
      <w:jc w:val="center"/>
    </w:pPr>
    <w:r>
      <w:rPr>
        <w:rFonts w:ascii="Calibri" w:cs="Calibri" w:eastAsia="Calibri" w:hAnsi="Calibri"/>
        <w:color w:val="8898AA"/>
        <w:sz w:val="17"/>
        <w:szCs w:val="17"/>
      </w:rPr>
      <w:t xml:space="preserve">Confidential  ·  Data Science Project  ·  Page </w:t>
    </w:r>
    <w:r>
      <w:rPr>
        <w:rFonts w:ascii="Calibri" w:cs="Calibri" w:eastAsia="Calibri" w:hAnsi="Calibri"/>
        <w:color w:val="137A8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CE8" w:sz="4" w:space="1"/>
      </w:pBdr>
      <w:spacing w:after="0"/>
    </w:pPr>
    <w:r>
      <w:rPr>
        <w:rFonts w:ascii="Calibri" w:cs="Calibri" w:eastAsia="Calibri" w:hAnsi="Calibri"/>
        <w:color w:val="8898AA"/>
        <w:sz w:val="18"/>
        <w:szCs w:val="18"/>
      </w:rPr>
      <w:t xml:space="preserve">Insurance Charges Analysis</w:t>
    </w:r>
    <w:r>
      <w:rPr>
        <w:rFonts w:ascii="Calibri" w:cs="Calibri" w:eastAsia="Calibri" w:hAnsi="Calibri"/>
        <w:color w:val="C9973A"/>
        <w:sz w:val="18"/>
        <w:szCs w:val="18"/>
      </w:rPr>
      <w:t xml:space="preserve">   |  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  <w:rPr>
        <w:rFonts w:ascii="Arial" w:cs="Arial" w:eastAsia="Arial" w:hAnsi="Arial"/>
        <w:color w:val="137A8F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Georgia" w:cs="Georgia" w:eastAsia="Georgia" w:hAnsi="Georgia"/>
      <w:b/>
      <w:bCs/>
      <w:color w:val="0B2545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Georgia" w:cs="Georgia" w:eastAsia="Georgia" w:hAnsi="Georgia"/>
      <w:b/>
      <w:bCs/>
      <w:color w:val="137A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a5a8540ef3f805ca2572496d7de8dfcd7d5897a.png"/><Relationship Id="rId9" Type="http://schemas.openxmlformats.org/officeDocument/2006/relationships/image" Target="media/6af3c247a80b482daa18872c00994f48ff787985.png"/><Relationship Id="rId10" Type="http://schemas.openxmlformats.org/officeDocument/2006/relationships/image" Target="media/4ad2eabd9b28baaa7489af8e279ba6b3190d21f8.png"/><Relationship Id="rId11" Type="http://schemas.openxmlformats.org/officeDocument/2006/relationships/image" Target="media/d632c48063bbe6dca73c18cc1a8a1f713850f467.png"/><Relationship Id="rId12" Type="http://schemas.openxmlformats.org/officeDocument/2006/relationships/image" Target="media/15ae6f2fbd9c207d6ff4e22a1b93c2481087198a.png"/><Relationship Id="rId13" Type="http://schemas.openxmlformats.org/officeDocument/2006/relationships/image" Target="media/b56e77b657bc4cfc2439a1c5e21994c60a554199.png"/><Relationship Id="rId14" Type="http://schemas.openxmlformats.org/officeDocument/2006/relationships/image" Target="media/a581a5f07b944f7375d8aad130126f5e88236496.png"/><Relationship Id="rId15" Type="http://schemas.openxmlformats.org/officeDocument/2006/relationships/image" Target="media/62877dd2f2be33d17321aad3978c75b328041fa1.png"/><Relationship Id="rId16" Type="http://schemas.openxmlformats.org/officeDocument/2006/relationships/image" Target="media/3f8d63b16689a6cc205e80296a58d57d001a33e3.png"/><Relationship Id="rId17" Type="http://schemas.openxmlformats.org/officeDocument/2006/relationships/image" Target="media/75411dbe14dd27ad90c6963db2c0ada21907ecb3.png"/><Relationship Id="rId18" Type="http://schemas.openxmlformats.org/officeDocument/2006/relationships/image" Target="media/65b897a0b73c956fccf65300c99521c053a667c6.png"/><Relationship Id="rId19" Type="http://schemas.openxmlformats.org/officeDocument/2006/relationships/image" Target="media/990246b541dba1cf72d2a9fc4cc5075b230f8f40.png"/><Relationship Id="rId20" Type="http://schemas.openxmlformats.org/officeDocument/2006/relationships/image" Target="media/eb015f8d79c5107314429d0a45e51184d23d89d3.png"/><Relationship Id="rId21" Type="http://schemas.openxmlformats.org/officeDocument/2006/relationships/image" Target="media/0afa099b7a03d49025b0351a895336692bc65272.png"/><Relationship Id="rId2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2026-03-26T02:33:17.781Z</dcterms:created>
  <dcterms:modified xsi:type="dcterms:W3CDTF">2026-03-26T02:33:17.781Z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