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Havenontwerp Groep 1 - Schetsontwerp en definitief ontwerp</w:t>
      </w:r>
    </w:p>
    <w:p>
      <w:r>
        <w:t>Toelichting bij Haven_SO en Haven_DO | Atelier De Haven A | 22 oktober 2026 | versie 2.0</w:t>
      </w:r>
    </w:p>
    <w:p>
      <w:pPr>
        <w:pStyle w:val="Heading1"/>
      </w:pPr>
      <w:r>
        <w:t>1 Wat is opgeleverd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</w:tcPr>
          <w:p>
            <w:r>
              <w:rPr>
                <w:sz w:val="17"/>
              </w:rPr>
              <w:t>Bestand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Inhoud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CAD/Haven_SO.dxf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Schetsontwerp in projectcoördinaten EPSG:31984 met lagen, luchtfoto-ondergrond (IMAGE) en A1-layout 1:10.000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CAD/Haven_DO.dxf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Definitief ontwerp naar Porto Central met alleen de opdrachtfuncties; maatvoering, fasegrenzen, ankerpunten, A1-layout 1:12.500, render op laag HV-REFERENTIE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CAD/Haven_DO_geul_ontwerpbodem.xml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LandXML voor Civil 3D: geulas als Alignment en ontwerpbodem -18,20 m MLWS als TIN-oppervlak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Referentie/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Uitsnede Porto Central-masterplan 2016 p. 9 (vormreferentie)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CAD/Ondergrond/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Sentinel-2 luchtfoto (JPG + world file .jgw + .prj), kustlijnen; relatief pad naast de DXF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PDF/Haven_SO.pdf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SO-01 overzicht 1:50.000, SO-02 havenindeling 1:12.500, SO-03 bespreekpunten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PDF/Haven_DO.pdf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DO-01 overzicht, DO-02 havenplan 1:12.500, DO-03 fasering 1:25.000, DO-04 maatstaat/georeferentie, DO-05 overtrek render, DO-06 t/m DO-08 terminaldetails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Maatstaat/Maatstaat_en_coordinaten.xlsx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Maatstaat, ankerpunten E/N, georeferentie, kustcontrole, besluitenlijst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Onderbouwing/Rekenboek_herontwerp_bijgewerkt.xlsx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Rekenboek met gemeten tekenmaten teruggevoerd (Nautiek, Grondwerk, Invoer, Keuzes, Tekening_DO)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webkaart/index.html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Interactieve kaart (Leaflet) met SO en DO op luchtfoto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src/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Python-scripts die alles reproduceerbaar uit één geometriebron genereren</w:t>
            </w:r>
          </w:p>
        </w:tc>
      </w:tr>
    </w:tbl>
    <w:p/>
    <w:p>
      <w:r>
        <w:t>DWG: de bestanden zijn als DXF (AutoCAD 2018) geleverd omdat er geen AutoCAD-licentie in de genereeromgeving was. Openen in Civil 3D en opslaan als Haven_SO.dwg / Haven_DO.dwg levert de gevraagde DWG's (zie par. 8).</w:t>
      </w:r>
    </w:p>
    <w:p>
      <w:pPr>
        <w:pStyle w:val="Heading1"/>
      </w:pPr>
      <w:r>
        <w:t>2 Kaartondergrond en coördinatenstelsel</w:t>
      </w:r>
    </w:p>
    <w:p>
      <w:r>
        <w:t>Stelsel: SIRGAS 2000 / UTM zone 24S (EPSG:31984), eenheid meter, X = Easting en Y = Northing. Alle objecten staan direct in projectcoördinaten; er is geen lokale tekening die achteraf verschoven moet worden.</w:t>
      </w:r>
    </w:p>
    <w:p>
      <w:r>
        <w:t>Ondergrond: Copernicus Sentinel-2 L2A, opname 3 juli 2026 (wolkenbedekking 0,01%), tegels 24KTB en 24KUB, 10 m resolutie, betrokken via AWS Open Data (Cloud Optimized GeoTIFF), geraadpleegd 22 oktober 2026. Sentinel-2 wordt geleverd in WGS84 / UTM 24S (EPSG:32724); het verschil met SIRGAS 2000 is kleiner dan 0,1 m en daarmee verwaarloosbaar ten opzichte van de pixelgrootte. De kustlijn is de waterlijn op de opnamedatum, afgeleid met NDWI (banden B03/B08); dit is geen MLWS-lijn.</w:t>
      </w:r>
    </w:p>
    <w:p>
      <w:pPr>
        <w:pStyle w:val="Heading2"/>
      </w:pPr>
      <w:r>
        <w:t>2.1 Georeferentiecontrole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</w:tcPr>
          <w:p>
            <w:r>
              <w:rPr>
                <w:sz w:val="17"/>
              </w:rPr>
              <w:t>Controle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Resultaat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Kustlijn tegen onafhankelijke GSHHS-kust (full)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gemiddeld 13,8 m, standaardafwijking 65,6 m over 15 profielen: geen systematische verschuiving of draaiing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Bronpunt São Francisco de Itabapoana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E 296.927,6 / N 7.642.294,9; ligt 17,6 m van de waterlijn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Bronpunt Rio Marobá / Barra de Boa Vista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E 300.025,4 / N 7.655.520,7; ligt 13,9 m van de waterlijn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Bekende afstand (bronpunten)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geodetisch 13.582,4 m, in grid 13.583,8 m; verschil 1,38 m = UTM-schaalfactor 1.00010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Noordrichting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meridiaanconvergentie 0.70 gr; de bladen zijn grid-noord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Bronresolutie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10 m (1 pixel); ESA-geolocatie van orde 1 pixel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Nog te doen in Civil 3D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Drie verspreide herkenningspunten (wegkruisingen, bebouwing) tegen Map Aerial meten; tabel staat klaar in Maatstaat_en_coordinaten.xlsx, tabblad Georeferentie</w:t>
            </w:r>
          </w:p>
        </w:tc>
      </w:tr>
    </w:tbl>
    <w:p/>
    <w:p>
      <w:r>
        <w:t>Diepten: de bodemmaat -18,20 m MLWS is voorlopig. De koppeling MLWS - DHN en de bathymetrie zijn nog niet ingelezen; daarom zijn het geuleinde en de baggervolumes herkenbaar voorlopig gelaten.</w:t>
      </w:r>
    </w:p>
    <w:p>
      <w:pPr>
        <w:pStyle w:val="Heading1"/>
      </w:pPr>
      <w:r>
        <w:t>3 Gekozen havenligging</w:t>
      </w:r>
    </w:p>
    <w:p>
      <w:r>
        <w:t>De locatie is vastgesteld: Porto Central, Presidente Kennedy - Espírito Santo, 29350-000, Brazilië. Dit ligt binnen het zoekgebied van locatie B, tussen de bronpunten São Francisco de Itabapoana en Rio Marobá. De havenas staat haaks op de kust (azimut 110 gr; de kust loopt hier onder 20.1 gr) en loopt door het bouwterrein van fase 1 dat op de luchtfoto van 3 juli 2026 aan het strand zichtbaar is. Het kustpunt op de havenas (A1) ligt op E 297.135,0 / N 7.650.000,0 (WGS84 -21.240329, -40.954826).</w:t>
      </w:r>
    </w:p>
    <w:p>
      <w:pPr>
        <w:pStyle w:val="ListBullet"/>
      </w:pPr>
      <w:r>
        <w:t>Havenmond, voorhaven en draaikom liggen zeewaarts van het bouwterrein fase 1 aan het strand.</w:t>
      </w:r>
    </w:p>
    <w:p>
      <w:pPr>
        <w:pStyle w:val="ListBullet"/>
      </w:pPr>
      <w:r>
        <w:t>Binnenbekken, containerterminal, graan en RoRo liggen landinwaarts op het kale Porto Central-terrein (restinga).</w:t>
      </w:r>
    </w:p>
    <w:p>
      <w:pPr>
        <w:pStyle w:val="ListBullet"/>
      </w:pPr>
      <w:r>
        <w:t>LNG en centrale liggen in het zuiden van het terrein; de dichtstbijzijnde kustbebouwing (N ca. 7.646.300) ligt op ruim 1,4 km van de tanks.</w:t>
      </w:r>
    </w:p>
    <w:p>
      <w:pPr>
        <w:pStyle w:val="ListBullet"/>
      </w:pPr>
      <w:r>
        <w:t>De rivier en het wetland bij de Itabapoana-monding blijven buiten het plan.</w:t>
      </w:r>
    </w:p>
    <w:p>
      <w:r>
        <w:drawing>
          <wp:inline xmlns:a="http://schemas.openxmlformats.org/drawingml/2006/main" xmlns:pic="http://schemas.openxmlformats.org/drawingml/2006/picture">
            <wp:extent cx="5940000" cy="4197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Figuur 1 Overzicht zoekgebied en havenligging (DO-01).</w:t>
      </w:r>
    </w:p>
    <w:p>
      <w:pPr>
        <w:pStyle w:val="Heading1"/>
      </w:pPr>
      <w:r>
        <w:t>4 Schetsontwerp (SO)</w:t>
      </w:r>
    </w:p>
    <w:p>
      <w:r>
        <w:t>Het schetsontwerp is een eerste, grove versie op de Porto Central-render met alleen de functies uit de opdracht. Bij de bespreking kwamen zeven punten naar voren (hoofdstuk 5), waarvan de belangrijkste de bocht naar het insteekbekken is.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</w:tcPr>
          <w:p>
            <w:r>
              <w:rPr>
                <w:sz w:val="17"/>
              </w:rPr>
              <w:t>Kenmerk SO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Waarde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Havenmond (hart-hart / vrij)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350 m / 260 m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Draaikom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D 720 m; overlapt de containervinger (1,5 ha)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Containerkade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1.600 m in een insteekbekken van 556 m; bocht 63 gr vanuit een hoofdbekken van 371 m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Geul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220 m, knik 15 gr op 2,2 km buiten de mond; geen sleepbootkoppelpunt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Graan + RoRo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gedeeld perceel 104 ha aan de noordkade, weg door het perceel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LNG + centrale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tanks op 116 m van het containerterrein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Fasering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containers F1 aan het zuideinde; alle bekkens in fase 1</w:t>
            </w:r>
          </w:p>
        </w:tc>
      </w:tr>
    </w:tbl>
    <w:p/>
    <w:p>
      <w:pPr>
        <w:pStyle w:val="Heading2"/>
      </w:pPr>
      <w:r>
        <w:t>4.1 Wat we van Porto Central overnemen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5669"/>
      </w:tblGrid>
      <w:tr>
        <w:tc>
          <w:tcPr>
            <w:tcW w:type="dxa" w:w="3969"/>
          </w:tcPr>
          <w:p>
            <w:r>
              <w:rPr>
                <w:sz w:val="17"/>
              </w:rPr>
              <w:t>Porto Central (render / masterplan)</w:t>
            </w:r>
          </w:p>
        </w:tc>
        <w:tc>
          <w:tcPr>
            <w:tcW w:type="dxa" w:w="5669"/>
          </w:tcPr>
          <w:p>
            <w:r>
              <w:rPr>
                <w:sz w:val="17"/>
              </w:rPr>
              <w:t>Ons ontwerp</w:t>
            </w:r>
          </w:p>
        </w:tc>
      </w:tr>
      <w:tr>
        <w:tc>
          <w:tcPr>
            <w:tcW w:type="dxa" w:w="3969"/>
          </w:tcPr>
          <w:p>
            <w:r>
              <w:rPr>
                <w:sz w:val="17"/>
              </w:rPr>
              <w:t>11 gebogen golfbrekers, 14 ingang naar het OZO</w:t>
            </w:r>
          </w:p>
        </w:tc>
        <w:tc>
          <w:tcPr>
            <w:tcW w:type="dxa" w:w="5669"/>
          </w:tcPr>
          <w:p>
            <w:r>
              <w:rPr>
                <w:sz w:val="17"/>
              </w:rPr>
              <w:t>Overgenomen; havenmond 350 m vrij (render ca. 640 m)</w:t>
            </w:r>
          </w:p>
        </w:tc>
      </w:tr>
      <w:tr>
        <w:tc>
          <w:tcPr>
            <w:tcW w:type="dxa" w:w="3969"/>
          </w:tcPr>
          <w:p>
            <w:r>
              <w:rPr>
                <w:sz w:val="17"/>
              </w:rPr>
              <w:t>Toegang ca. 26 km tot ca. -25 m</w:t>
            </w:r>
          </w:p>
        </w:tc>
        <w:tc>
          <w:tcPr>
            <w:tcW w:type="dxa" w:w="5669"/>
          </w:tcPr>
          <w:p>
            <w:r>
              <w:rPr>
                <w:sz w:val="17"/>
              </w:rPr>
              <w:t>Geul 220 m tot -18,20 m MLWS, 35.000 m (GEBCO)</w:t>
            </w:r>
          </w:p>
        </w:tc>
      </w:tr>
      <w:tr>
        <w:tc>
          <w:tcPr>
            <w:tcW w:type="dxa" w:w="3969"/>
          </w:tcPr>
          <w:p>
            <w:r>
              <w:rPr>
                <w:sz w:val="17"/>
              </w:rPr>
              <w:t>-20 m-cirkel in de voorhaven</w:t>
            </w:r>
          </w:p>
        </w:tc>
        <w:tc>
          <w:tcPr>
            <w:tcW w:type="dxa" w:w="5669"/>
          </w:tcPr>
          <w:p>
            <w:r>
              <w:rPr>
                <w:sz w:val="17"/>
              </w:rPr>
              <w:t>Vrije draaikom D 720 m (containerschepen)</w:t>
            </w:r>
          </w:p>
        </w:tc>
      </w:tr>
      <w:tr>
        <w:tc>
          <w:tcPr>
            <w:tcW w:type="dxa" w:w="3969"/>
          </w:tcPr>
          <w:p>
            <w:r>
              <w:rPr>
                <w:sz w:val="17"/>
              </w:rPr>
              <w:t>-16 m-cirkel in het hoofdbekken</w:t>
            </w:r>
          </w:p>
        </w:tc>
        <w:tc>
          <w:tcPr>
            <w:tcW w:type="dxa" w:w="5669"/>
          </w:tcPr>
          <w:p>
            <w:r>
              <w:rPr>
                <w:sz w:val="17"/>
              </w:rPr>
              <w:t>Zwaaiplaats binnenhaven D 500 m met sleepboten</w:t>
            </w:r>
          </w:p>
        </w:tc>
      </w:tr>
      <w:tr>
        <w:tc>
          <w:tcPr>
            <w:tcW w:type="dxa" w:w="3969"/>
          </w:tcPr>
          <w:p>
            <w:r>
              <w:rPr>
                <w:sz w:val="17"/>
              </w:rPr>
              <w:t>Hoofdbekken, twee vingers, twee insteekbekkens</w:t>
            </w:r>
          </w:p>
        </w:tc>
        <w:tc>
          <w:tcPr>
            <w:tcW w:type="dxa" w:w="5669"/>
          </w:tcPr>
          <w:p>
            <w:r>
              <w:rPr>
                <w:sz w:val="17"/>
              </w:rPr>
              <w:t>Overgenomen (vorm gelijk aan de render)</w:t>
            </w:r>
          </w:p>
        </w:tc>
      </w:tr>
      <w:tr>
        <w:tc>
          <w:tcPr>
            <w:tcW w:type="dxa" w:w="3969"/>
          </w:tcPr>
          <w:p>
            <w:r>
              <w:rPr>
                <w:sz w:val="17"/>
              </w:rPr>
              <w:t>6 containerterminal</w:t>
            </w:r>
          </w:p>
        </w:tc>
        <w:tc>
          <w:tcPr>
            <w:tcW w:type="dxa" w:w="5669"/>
          </w:tcPr>
          <w:p>
            <w:r>
              <w:rPr>
                <w:sz w:val="17"/>
              </w:rPr>
              <w:t>Containers 144 ha; kraankade aan de westzijde (insteek, beschut)</w:t>
            </w:r>
          </w:p>
        </w:tc>
      </w:tr>
      <w:tr>
        <w:tc>
          <w:tcPr>
            <w:tcW w:type="dxa" w:w="3969"/>
          </w:tcPr>
          <w:p>
            <w:r>
              <w:rPr>
                <w:sz w:val="17"/>
              </w:rPr>
              <w:t>10 graan aan de noordkade</w:t>
            </w:r>
          </w:p>
        </w:tc>
        <w:tc>
          <w:tcPr>
            <w:tcW w:type="dxa" w:w="5669"/>
          </w:tcPr>
          <w:p>
            <w:r>
              <w:rPr>
                <w:sz w:val="17"/>
              </w:rPr>
              <w:t>Graan 30 ha</w:t>
            </w:r>
          </w:p>
        </w:tc>
      </w:tr>
      <w:tr>
        <w:tc>
          <w:tcPr>
            <w:tcW w:type="dxa" w:w="3969"/>
          </w:tcPr>
          <w:p>
            <w:r>
              <w:rPr>
                <w:sz w:val="17"/>
              </w:rPr>
              <w:t>7/8 tweede vinger</w:t>
            </w:r>
          </w:p>
        </w:tc>
        <w:tc>
          <w:tcPr>
            <w:tcW w:type="dxa" w:w="5669"/>
          </w:tcPr>
          <w:p>
            <w:r>
              <w:rPr>
                <w:sz w:val="17"/>
              </w:rPr>
              <w:t>RoRo 30 ha; rest uitbreidingsruimte eigen terminals</w:t>
            </w:r>
          </w:p>
        </w:tc>
      </w:tr>
      <w:tr>
        <w:tc>
          <w:tcPr>
            <w:tcW w:type="dxa" w:w="3969"/>
          </w:tcPr>
          <w:p>
            <w:r>
              <w:rPr>
                <w:sz w:val="17"/>
              </w:rPr>
              <w:t>9 tankpark, 18 LNG bij de zuiddam</w:t>
            </w:r>
          </w:p>
        </w:tc>
        <w:tc>
          <w:tcPr>
            <w:tcW w:type="dxa" w:w="5669"/>
          </w:tcPr>
          <w:p>
            <w:r>
              <w:rPr>
                <w:sz w:val="17"/>
              </w:rPr>
              <w:t>LNG-zone en centrale; LNG-steiger</w:t>
            </w:r>
          </w:p>
        </w:tc>
      </w:tr>
      <w:tr>
        <w:tc>
          <w:tcPr>
            <w:tcW w:type="dxa" w:w="3969"/>
          </w:tcPr>
          <w:p>
            <w:r>
              <w:rPr>
                <w:sz w:val="17"/>
              </w:rPr>
              <w:t>2 erts, 3 werf, 5 olie, 12/1 industrie</w:t>
            </w:r>
          </w:p>
        </w:tc>
        <w:tc>
          <w:tcPr>
            <w:tcW w:type="dxa" w:w="5669"/>
          </w:tcPr>
          <w:p>
            <w:r>
              <w:rPr>
                <w:sz w:val="17"/>
              </w:rPr>
              <w:t>Niet in de opdracht: weggelaten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0000" cy="41974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-03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Figuur 2 Bespreekpunten op het schetsontwerp (SO-03).</w:t>
      </w:r>
    </w:p>
    <w:p>
      <w:pPr>
        <w:pStyle w:val="Heading1"/>
      </w:pPr>
      <w:r>
        <w:t>5 Bespreking SO en besluitenlijst</w:t>
      </w:r>
    </w:p>
    <w:p>
      <w:r>
        <w:t>Het schetsontwerp is getoetst op de nautische ruimte, de tekenbrief en de vergelijking met het rekenboek. De bespreekpunten en de besluiten staan hieronder; het definitieve ontwerp verwerkt ze. Laat de punten met status open of deels open met de begeleider bevestigen.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247"/>
        <w:gridCol w:w="2041"/>
        <w:gridCol w:w="2835"/>
        <w:gridCol w:w="1020"/>
        <w:gridCol w:w="1928"/>
      </w:tblGrid>
      <w:tr>
        <w:tc>
          <w:tcPr>
            <w:tcW w:type="dxa" w:w="567"/>
          </w:tcPr>
          <w:p>
            <w:r>
              <w:rPr>
                <w:sz w:val="17"/>
              </w:rPr>
              <w:t>Nr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Onderwerp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Besluit / DO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Status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Vervolgstap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B01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Havenligging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Zoekgebied locatie B; exacte plaats open.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Locatie vastgesteld: Porto Central, Presidente Kennedy - Espírito Santo (29350-000). Havenas haaks op de kust (azimut 110 gr) door het bouwterrein fase 1; kustpunt A1 E 297.135,0 / N 7.650.000,0; bekkens landinwaarts op het Porto Central-terrein.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Vastgelegd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Ligging van de havenas op het terrein afstemmen met het bouwterrein fase 1 / masterplan.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Havenvorm en programma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grove schets op de Porto Central-render.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de vorm van de render blijft: gebogen dammen, ingang naar het OZO, hoofdbekken langs de noordkade, twee schuine vingers met insteekbekkens en het tankpark langs de zuidrand. Er staan alleen functies uit de opdracht in: containers (vinger 6), droge bulk/graan (noordkade), voertuigen/RoRo (vinger 7/8), LNG en de centrale (zuidrand). Erts, werf, industrie en olie zijn weggelaten; de overige ruimte op vinger 7/8 en de tweede insteek zijn uitbreidingsruimte voor de eigen ladingstromen na 2045.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Vastgelegd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Uitbreidingsruimte apart onderbouwen als de groei na 2045 aan de orde komt.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B03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Havenmond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350 m tussen damhartlijnen, vrij tussen de footprints maar 260 m.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dammen verlegd, 350 m vrij tussen de golfbrekerfootprints (90 m breed).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Na golfbrekerontwerp (kruin, taluds) footprint en vrije breedte opnieuw meten.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B04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Manoeuvreren met grote schepen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containerkade in het insteekbekken: een schip van 334 m moet 63 gr draaien vanuit een hoofdbekken van 371 m breed. Met een vuistregel voor de bochtstraal van minimaal 3 x LOA (ca. 1.000 m) past dat niet. Ook overlapt de draaikom de containervinger (1,5 ha) en is er binnen geen draairuimte voor graan- en RoRo-schepen.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containerkade aan de westzijde van vinger 6, in het insteekbekken. Golftoets (DO-09): aan de oostzijde (voorhaven) wordt Hs 1,66 m (grens 0,5 m), in de insteek 0,01 m. Containerschepen varen met sleepboten door de draaikom (D 720 m) het hoofdbekken in, zwaaien op de zwaaiplaats binnenhaven (D 500 m = 1,5 LOA, met sleepboten; het hoofdbekken is daar verbreed) en worden achteruit de insteek in gesleept, zodat ze met de kop naar buiten afmeren. De zwaaiplaats ligt 165 m vrij van afgemeerde schepen en 91 m van de oever. Draaikom voorhaven 416 m vrij; stopweg 1.720 m = 5,1 LOA.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Toetsen met bochtstralen uit PIANC WG121 en een nautische simulatie met sleepboten.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B05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Toegangsgeul en sleepboten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geul knikt 15 gr op 2,2 km buiten de mond; geen sleepbootkoppelpunt.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rechte geul 220 m, -18,20 m MLWS, in het verlengde van de havenmond; koppelpunt 1.500 m buiten de mond (A4). Bodemmodel uit GEBCO 2026 + Copernicus DEM (DO-10): het kustplateau is vlak (-13 tot -17 m); de natuurlijke bodem is pas op 35.000 m overal dieper dan -18,2 m MLWS (-15 m op 24.000 m). Geul daarom 35 km lang; zone 2/3 gesplitst op de -15 m-lijn.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Deels open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Multibeampeiling langs het tracé; MLWS-DHN koppelen; geul eventueel gefaseerd (eerst -15,5 m, getijvenster).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B06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LNG-steiger en tanks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LNG-tanks direct achter het containerterrein, op 116 m.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LNG-steiger achter het midden van de zuidelijke dam (golftoets Hs 0,90 m &lt; 1,0 m; bij de havenmond 1,08 m). Tanks oostelijk in de LNG-zone: cryogene leiding ca. 1,4 km. Veiligheidszone 250 m rond schip/steiger en rond de tanks, nautische controlezone 500 m (Hong Kong LNG-terminal; literatuur 250-750 m): geen andere schepen of gebouwen in de 250 m-zones; draaikom 626 m buiten de zone, containerterrein 46 m buiten de tankzone. Ligplaats en vaarweg -16,20 m MLWS.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 / QRA open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QRA (plaatsgebonden en groepsrisico) en definitieve zones; N-1-voorraadbeleid kiezen.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B07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Droge bulk (graan) en RoRo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gedeeld perceel van 104 ha aan de noordkade, weg kruist het terrein.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graan 30,4 ha aan de noordkade (render 10) met silo en transportband; RoRo 30,2 ha in de noordoosthoek van vinger 7/8 met kade aan het insteekbekken; ieder een kade van 300 m en een eigen poort.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Rijcircuit RoRo en conveyorroute graan detailleren.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B08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Fasering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containerfase 1 aan het zuideinde; alle bekkens in fase 1 baggeren.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containers fase 1 aan de noordkop (C1-C2), de kade groeit zuidwaarts langs de westzijde van vinger 6; gebaggerd 118,9 / 141,9 / 165,0 ha; insteek zuid, hoofdbekken west en tweede insteek (122,1 ha) pas na 2045.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Bouwmethode uitbreiding naast werkende kade uitwerken.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B09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Centrale en utilities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centrale naast de LNG-zone.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reservering 43,5 ha naast de LNG-zone langs de zuidrand; gasleiding naar het regionale net; koelwater indicatief.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Reservering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Vermogen/proceskeuze vaststellen; recirculatie koelwater toetsen.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B10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Achterland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weg door het graan/RoRo-perceel.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noordweg langs graan, RoRo en havendienst; zuidweg langs containerterrein, LNG en centrale; beide aangesloten op het regionale net aan de westzijde, met spoor.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Tracé naar het regionale weg- en spoornet bepalen.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B11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Ondergrond en georeferentie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Kaartondergrond nodig met controle.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Sentinel-2 L2A van 03-07-2026 (10 m); kust vs. GSHHS gemiddeld 14 m (sd 66 m); bronpunten liggen 14-18 m van de waterlijn.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Gecontroleerd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In Civil 3D drie herkenningspunten tegen Map Aerial meten en afwijking invullen.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B12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Grondwerk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Oppervlakken ontbraken.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Celmethode (30 m) op het bodemmodel: zone 1 59,1, zone 2 29,9, zone 3 3,6 mln m3 (totaal 92,5 mln m3). Dieptezones per scheepstype (diepgang + 3,7 m): containers/graan -18,20, LNG -16,20, RoRo -13,70 m MLWS; besparing 0,75 mln m3. Ontwerpbodem per dieptezone als LandXML-oppervlak voor Civil 3D.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Indicatief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Na peiling herberekenen (Volumes Dashboard); grondsoorten uit boringen.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B13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Variantafweging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Scores ontbreken.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Niet door de tekenaar ingevuld: de groep scoort de eigen schetsen met motivering.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Open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Tabblad Afweging invullen per groepslid-schets.</w:t>
            </w:r>
          </w:p>
        </w:tc>
      </w:tr>
    </w:tbl>
    <w:p/>
    <w:p>
      <w:pPr>
        <w:pStyle w:val="Heading1"/>
      </w:pPr>
      <w:r>
        <w:t>6 Definitief ontwerp (DO)</w:t>
      </w:r>
    </w:p>
    <w:p>
      <w:r>
        <w:t>Het definitieve ontwerp houdt de vorm van de Porto Central-render aan (dammen, hoofdbekken, twee vingers met insteekbekkens, tankpark), maar bevat alleen de functies uit de opdracht en is getoetst op manoeuvreerbaarheid: grote schepen draaien alleen in de draaikommen. De render is op schaal (10,035 m per pixel) op de kust gelegd; blad DO-05 toont de render met het DO erop. In de DXF staat de render op laag HV-REFERENTIE.</w:t>
      </w:r>
    </w:p>
    <w:p>
      <w:pPr>
        <w:pStyle w:val="ListBullet"/>
      </w:pPr>
      <w:r>
        <w:t>Voorhaven met twee gebogen golfbrekers (footprint 90 m, voorlopig); havenmond 350 m vrij, ingang naar het OZO.</w:t>
      </w:r>
    </w:p>
    <w:p>
      <w:pPr>
        <w:pStyle w:val="ListBullet"/>
      </w:pPr>
      <w:r>
        <w:t>Rechte toegangsgeul 220 m bodembreedte, -18,20 m MLWS; 35.000 m buiten de mond (GEBCO-bodemmodel, DO-10).</w:t>
      </w:r>
    </w:p>
    <w:p>
      <w:pPr>
        <w:pStyle w:val="ListBullet"/>
      </w:pPr>
      <w:r>
        <w:t>Sleepbootkoppelpunt 1.500 m buiten de mond; stopweg mond - draaikom 1.720 m (5,1 LOA).</w:t>
      </w:r>
    </w:p>
    <w:p>
      <w:pPr>
        <w:pStyle w:val="ListBullet"/>
      </w:pPr>
      <w:r>
        <w:t>Vrije draaikom D 720 m in de voorhaven (416 m vrij van schepen) en zwaaiplaats binnenhaven D 500 m met sleepboten (165 m vrij).</w:t>
      </w:r>
    </w:p>
    <w:p>
      <w:pPr>
        <w:pStyle w:val="ListBullet"/>
      </w:pPr>
      <w:r>
        <w:t>Containerterminal (vinger 6): kraankade 800 / 1.200 / 1.600 m aan de westzijde in de insteek (beschut, DO-09), terrein 72 / 108 / 144 ha; fase 1 aan de noordkop.</w:t>
      </w:r>
    </w:p>
    <w:p>
      <w:pPr>
        <w:pStyle w:val="ListBullet"/>
      </w:pPr>
      <w:r>
        <w:t>Dieptezones: containers, graan en geul -18,20; LNG-vaarweg en -ligplaats -16,20; RoRo -13,70 m MLWS.</w:t>
      </w:r>
    </w:p>
    <w:p>
      <w:pPr>
        <w:pStyle w:val="ListBullet"/>
      </w:pPr>
      <w:r>
        <w:t>Hoofdbekken 371 m breed, koerswijziging vanaf de geul 19 gr; graan 30 ha aan de noordkade.</w:t>
      </w:r>
    </w:p>
    <w:p>
      <w:pPr>
        <w:pStyle w:val="ListBullet"/>
      </w:pPr>
      <w:r>
        <w:t>RoRo 30 ha op vinger 7/8 met kade aan het insteekbekken; de rest van vinger 7/8 en de tweede insteek zijn uitbreidingsruimte na 2045.</w:t>
      </w:r>
    </w:p>
    <w:p>
      <w:pPr>
        <w:pStyle w:val="ListBullet"/>
      </w:pPr>
      <w:r>
        <w:t>LNG-zone 36,3 ha met 3 x 180.000 m3 en ruimte voor een 4e tank; centrale 43,5 ha; LNG-steiger achter de zuidelijke dam.</w:t>
      </w:r>
    </w:p>
    <w:p>
      <w:pPr>
        <w:pStyle w:val="ListBullet"/>
      </w:pPr>
      <w:r>
        <w:t>Noordweg en ringweg met spoor, aangesloten op het regionale net aan de westzijde.</w:t>
      </w:r>
    </w:p>
    <w:p>
      <w:r>
        <w:drawing>
          <wp:inline xmlns:a="http://schemas.openxmlformats.org/drawingml/2006/main" xmlns:pic="http://schemas.openxmlformats.org/drawingml/2006/picture">
            <wp:extent cx="5940000" cy="41974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-0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Figuur 3 Definitief havenplan (DO-02).</w:t>
      </w:r>
    </w:p>
    <w:p>
      <w:r>
        <w:drawing>
          <wp:inline xmlns:a="http://schemas.openxmlformats.org/drawingml/2006/main" xmlns:pic="http://schemas.openxmlformats.org/drawingml/2006/picture">
            <wp:extent cx="5940000" cy="419746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-05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Figuur 4 Overtrek: Porto Central-render op de luchtfoto met het DO (DO-05).</w:t>
      </w:r>
    </w:p>
    <w:p>
      <w:pPr>
        <w:pStyle w:val="Heading2"/>
      </w:pPr>
      <w:r>
        <w:t>6.1 Golftoets ligplaatsen (DO-09)</w:t>
      </w:r>
    </w:p>
    <w:p>
      <w:r>
        <w:t>De golfdoordringing is geschat met diffractie door opeenvolgende openingen (Huygens-Kirchhoff): havenmond, ingang hoofdbekken en ingang insteek. Golven uit NO tot ZZO, Hs buiten 2,5 m (bovenkant Deel 1), T 8 s. Grenzen voor laden en lossen (indicatief, PIANC/handboeken): containers 0,5 m, RoRo 0,3 m, graan en LNG 1,0 m. Reflectie, refractie en lange golven zitten er niet in; een numeriek golfmodel volgt.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1134"/>
        <w:gridCol w:w="1134"/>
        <w:gridCol w:w="1134"/>
        <w:gridCol w:w="1417"/>
      </w:tblGrid>
      <w:tr>
        <w:tc>
          <w:tcPr>
            <w:tcW w:type="dxa" w:w="3969"/>
          </w:tcPr>
          <w:p>
            <w:r>
              <w:rPr>
                <w:sz w:val="17"/>
              </w:rPr>
              <w:t>Ligplaats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Kd max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Hs (m)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Grens (m)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Toets</w:t>
            </w:r>
          </w:p>
        </w:tc>
      </w:tr>
      <w:tr>
        <w:tc>
          <w:tcPr>
            <w:tcW w:type="dxa" w:w="3969"/>
          </w:tcPr>
          <w:p>
            <w:r>
              <w:rPr>
                <w:sz w:val="17"/>
              </w:rPr>
              <w:t>Containers C1-C4 (insteek, westzijde)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0,01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0,01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0,5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3969"/>
          </w:tcPr>
          <w:p>
            <w:r>
              <w:rPr>
                <w:sz w:val="17"/>
              </w:rPr>
              <w:t>Graan (noordkade hoofdbekken)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0,29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0,73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1,0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3969"/>
          </w:tcPr>
          <w:p>
            <w:r>
              <w:rPr>
                <w:sz w:val="17"/>
              </w:rPr>
              <w:t>RoRo (insteek, vinger 7/8)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0,01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0,03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0,3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3969"/>
          </w:tcPr>
          <w:p>
            <w:r>
              <w:rPr>
                <w:sz w:val="17"/>
              </w:rPr>
              <w:t>LNG (achter zuidelijke dam)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0,36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0,90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1,0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3969"/>
          </w:tcPr>
          <w:p>
            <w:r>
              <w:rPr>
                <w:sz w:val="17"/>
              </w:rPr>
              <w:t>Variant: containerkade oostzijde (voorhaven)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0,66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1,66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0,5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voldoet niet</w:t>
            </w:r>
          </w:p>
        </w:tc>
      </w:tr>
      <w:tr>
        <w:tc>
          <w:tcPr>
            <w:tcW w:type="dxa" w:w="3969"/>
          </w:tcPr>
          <w:p>
            <w:r>
              <w:rPr>
                <w:sz w:val="17"/>
              </w:rPr>
              <w:t>Variant: LNG-steiger bij de havenmond (oud)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0,43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1,08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1,0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voldoet niet</w:t>
            </w:r>
          </w:p>
        </w:tc>
      </w:tr>
    </w:tbl>
    <w:p/>
    <w:p>
      <w:r>
        <w:t>Gevolg: de containerkade is naar de westzijde van vinger 6 verplaatst en de LNG-steiger naar het midden van de zuidelijke dam.</w:t>
      </w:r>
    </w:p>
    <w:p>
      <w:pPr>
        <w:pStyle w:val="Heading2"/>
      </w:pPr>
      <w:r>
        <w:t>6.2 Dieptezones, bodemmodel en grondwerk (DO-10)</w:t>
      </w:r>
    </w:p>
    <w:p>
      <w:r>
        <w:t>Waterdiepte = diepgang + 3,7 m (squat 0,6, golfbeweging 0,5, trim 0,2, kielspeling 0,8, peilonnauwkeurigheid 0,6, baggertolerantie 0,5, reserve 0,5). Containers en graan (diepgang 14,5 m) -18,20 m; LNG (12,5 m) -16,20 m; RoRo (10,0 m) -13,70 m MLWS. Alleen de vaarroute naar de diepste schepen is -18,20 m.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1417"/>
        <w:gridCol w:w="1134"/>
        <w:gridCol w:w="1417"/>
        <w:gridCol w:w="1701"/>
      </w:tblGrid>
      <w:tr>
        <w:tc>
          <w:tcPr>
            <w:tcW w:type="dxa" w:w="3402"/>
          </w:tcPr>
          <w:p>
            <w:r>
              <w:rPr>
                <w:sz w:val="17"/>
              </w:rPr>
              <w:t>Vak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Bodem (m MLWS)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Opp. (ha)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Bestaand (m)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Volume (mln m3)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Voorhaven + toegang  -18,20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-18,20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90,3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-0,8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15,74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LNG-vaarweg  -16,20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-16,20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32,4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-1,7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4,70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Hoofdbekken  -18,20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-18,20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60,8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6,9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15,25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Insteekbekken containers  -18,20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-18,20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46,3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7,0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11,64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Insteek F2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-18,20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23,1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6,0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5,59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Insteek F3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-18,20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22,9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6,5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5,67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RoRo  -13,70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-13,70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2,2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7,2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0,47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Geul tot DHN -15 m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-18,20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528,0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-12,5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29,90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Geul voorbij DHN -15 m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-18,20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241,8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-17,1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3,57</w:t>
            </w:r>
          </w:p>
        </w:tc>
      </w:tr>
    </w:tbl>
    <w:p/>
    <w:p>
      <w:r>
        <w:t>Totaal 92,5 mln m3; besparing door dieptezones 0,75 mln m3. Bronnen: GEBCO 2026 (15 boogseconden) via Source Cooperative en Copernicus DEM GLO-30; MLWS = MSL - 0,7 m (aanname). Zonder peiling zijn geullengte en volumes indicatief.</w:t>
      </w:r>
    </w:p>
    <w:p>
      <w:pPr>
        <w:pStyle w:val="Heading2"/>
      </w:pPr>
      <w:r>
        <w:t>6.3 LNG-veiligheid</w:t>
      </w:r>
    </w:p>
    <w:p>
      <w:r>
        <w:t>Indicatieve zones volgens de Hong Kong offshore LNG-terminal (Annex A-1): 250 m veiligheidszone rond schip en steiger, 500 m nautische controlezone; dezelfde 250 m rond de tanks. Literatuur noemt 250-750 m afhankelijk van de QRA. In het DO liggen geen andere schepen of gebouwen in de 250 m-zones; het dichtstbijzijnde andere schip ligt op 1.742 m. Tijdens LNG-aankomst geldt eenrichtingsverkeer in de voorhaven. Definitieve afstanden volgen uit de QRA.</w:t>
      </w:r>
    </w:p>
    <w:p>
      <w:r>
        <w:drawing>
          <wp:inline xmlns:a="http://schemas.openxmlformats.org/drawingml/2006/main" xmlns:pic="http://schemas.openxmlformats.org/drawingml/2006/picture">
            <wp:extent cx="5940000" cy="419746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-09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Figuur bij 6.1: golftoets ligplaatsen (DO-09).</w:t>
      </w:r>
    </w:p>
    <w:p>
      <w:r>
        <w:drawing>
          <wp:inline xmlns:a="http://schemas.openxmlformats.org/drawingml/2006/main" xmlns:pic="http://schemas.openxmlformats.org/drawingml/2006/picture">
            <wp:extent cx="5940000" cy="419746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-10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Figuur bij 6.2: toegangsgeul, bodemprofiel en grondwerk (DO-10).</w:t>
      </w:r>
    </w:p>
    <w:p>
      <w:pPr>
        <w:pStyle w:val="Heading2"/>
      </w:pPr>
      <w:r>
        <w:t>6.4 Uitwerking van de terminals (DO-06 t/m DO-08)</w:t>
      </w:r>
    </w:p>
    <w:p>
      <w:r>
        <w:t>De terminals zijn uitgewerkt tot op het niveau van stackblokken, kranen, silo's, parkeervakken, tanks en installaties. De kengetallen zijn gecontroleerd tegen het rekenboek.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4819"/>
        <w:gridCol w:w="3118"/>
      </w:tblGrid>
      <w:tr>
        <w:tc>
          <w:tcPr>
            <w:tcW w:type="dxa" w:w="1701"/>
          </w:tcPr>
          <w:p>
            <w:r>
              <w:rPr>
                <w:sz w:val="17"/>
              </w:rPr>
              <w:t>Terminal</w:t>
            </w:r>
          </w:p>
        </w:tc>
        <w:tc>
          <w:tcPr>
            <w:tcW w:type="dxa" w:w="4819"/>
          </w:tcPr>
          <w:p>
            <w:r>
              <w:rPr>
                <w:sz w:val="17"/>
              </w:rPr>
              <w:t>Uitwerking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Controle tegen rekenboek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Containers (DO-06)</w:t>
            </w:r>
          </w:p>
        </w:tc>
        <w:tc>
          <w:tcPr>
            <w:tcW w:type="dxa" w:w="4819"/>
          </w:tcPr>
          <w:p>
            <w:r>
              <w:rPr>
                <w:sz w:val="17"/>
              </w:rPr>
              <w:t>Kade-apron 60 m met kraanbaan (30,5 m); STS-kranen per fase; RTG-blokken 24 m breed met rijpaden van 12 m en blokken van 300 m; reefer- en legecontainervakken; railterminal 4 sporen x 1.300 m met RMG; gate met 12 rijstroken, douane/scan, truckparking; kantoor en werkplaats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STS 6/12/20 (6/12/20); TEU-grondslots 20.284 / 30.426 / 40.558 tegen 12.133 / 20.222 / 40.444 nodig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Graan (DO-07)</w:t>
            </w:r>
          </w:p>
        </w:tc>
        <w:tc>
          <w:tcPr>
            <w:tcW w:type="dxa" w:w="4819"/>
          </w:tcPr>
          <w:p>
            <w:r>
              <w:rPr>
                <w:sz w:val="17"/>
              </w:rPr>
              <w:t>8 silo's D 30 m x 40 m, vlakke opslag, 2 shiploaders op de kade, transportband, ontvangst per vrachtauto en per spoor, kantoor/weegbrug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169.646 t silocapaciteit tegen 154.100 t piekvoorraad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RoRo (DO-07)</w:t>
            </w:r>
          </w:p>
        </w:tc>
        <w:tc>
          <w:tcPr>
            <w:tcW w:type="dxa" w:w="4819"/>
          </w:tcPr>
          <w:p>
            <w:r>
              <w:rPr>
                <w:sz w:val="17"/>
              </w:rPr>
              <w:t>Parkeerstroken binnen het rijcircuit, ramp, inspectie, kantoor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ca. 9.698 auto's tegen 7.479 auto's piekvoorraad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Havendienst (DO-07)</w:t>
            </w:r>
          </w:p>
        </w:tc>
        <w:tc>
          <w:tcPr>
            <w:tcW w:type="dxa" w:w="4819"/>
          </w:tcPr>
          <w:p>
            <w:r>
              <w:rPr>
                <w:sz w:val="17"/>
              </w:rPr>
              <w:t>Havenkantoor/VTS, VTS-toren, loodsen en sleepdienst, brandweer, 3 sleepbootligplaatsen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-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LNG (DO-08)</w:t>
            </w:r>
          </w:p>
        </w:tc>
        <w:tc>
          <w:tcPr>
            <w:tcW w:type="dxa" w:w="4819"/>
          </w:tcPr>
          <w:p>
            <w:r>
              <w:rPr>
                <w:sz w:val="17"/>
              </w:rPr>
              <w:t>3 full-containment tanks in tankput, plaats 4e tank, hervergassing 4 x 33%, BOG-compressor, meetstation, controlekamer, fakkel; steiger met 3 laadarmen, breasting- en meerdolphins, pijpleidingbrug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540.000 m3; N-1 nog te kiezen; QRA volgt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Centrale (DO-08)</w:t>
            </w:r>
          </w:p>
        </w:tc>
        <w:tc>
          <w:tcPr>
            <w:tcW w:type="dxa" w:w="4819"/>
          </w:tcPr>
          <w:p>
            <w:r>
              <w:rPr>
                <w:sz w:val="17"/>
              </w:rPr>
              <w:t>4 STEG-eenheden, hoogspanningsstation, gasontvangst, koelwaterpompen, waterbehandeling, kantoor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2.260 MW tegen rekenvoorbeeld 2.256 MW (vermogen nog vast te stellen)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0000" cy="419746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-0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Figuur 6 Containerterminal (DO-06).</w:t>
      </w:r>
    </w:p>
    <w:p>
      <w:r>
        <w:drawing>
          <wp:inline xmlns:a="http://schemas.openxmlformats.org/drawingml/2006/main" xmlns:pic="http://schemas.openxmlformats.org/drawingml/2006/picture">
            <wp:extent cx="5940000" cy="419746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-07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Figuur 7 Graan, RoRo en havendienst (DO-07).</w:t>
      </w:r>
    </w:p>
    <w:p>
      <w:r>
        <w:drawing>
          <wp:inline xmlns:a="http://schemas.openxmlformats.org/drawingml/2006/main" xmlns:pic="http://schemas.openxmlformats.org/drawingml/2006/picture">
            <wp:extent cx="5940000" cy="41974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-08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Figuur 8 LNG-terminal en centrale (DO-08).</w:t>
      </w:r>
    </w:p>
    <w:p>
      <w:pPr>
        <w:pStyle w:val="Heading2"/>
      </w:pPr>
      <w:r>
        <w:t>6.5 Overslagproces en ruimtebeslag</w:t>
      </w:r>
    </w:p>
    <w:p>
      <w:r>
        <w:t>Per terminal is de overslagketen uitgewerkt en is gecontroleerd of de ruimte voor iedere stap in de tekening zit. Aannamen zonder bron zijn projectaannamen en staan onder de tabel.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361"/>
        <w:gridCol w:w="2381"/>
        <w:gridCol w:w="3061"/>
        <w:gridCol w:w="2835"/>
      </w:tblGrid>
      <w:tr>
        <w:tc>
          <w:tcPr>
            <w:tcW w:type="dxa" w:w="1361"/>
          </w:tcPr>
          <w:p>
            <w:r>
              <w:rPr>
                <w:sz w:val="17"/>
              </w:rPr>
              <w:t>Terminal</w:t>
            </w:r>
          </w:p>
        </w:tc>
        <w:tc>
          <w:tcPr>
            <w:tcW w:type="dxa" w:w="2381"/>
          </w:tcPr>
          <w:p>
            <w:r>
              <w:rPr>
                <w:sz w:val="17"/>
              </w:rPr>
              <w:t>Overslagketen</w:t>
            </w:r>
          </w:p>
        </w:tc>
        <w:tc>
          <w:tcPr>
            <w:tcW w:type="dxa" w:w="3061"/>
          </w:tcPr>
          <w:p>
            <w:r>
              <w:rPr>
                <w:sz w:val="17"/>
              </w:rPr>
              <w:t>Maatgevende berekening (2045)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Ruimte in de tekening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Containers</w:t>
            </w:r>
          </w:p>
        </w:tc>
        <w:tc>
          <w:tcPr>
            <w:tcW w:type="dxa" w:w="2381"/>
          </w:tcPr>
          <w:p>
            <w:r>
              <w:rPr>
                <w:sz w:val="17"/>
              </w:rPr>
              <w:t>schip - STS-kraan - terminaltrekker - RTG-stack - vrachtauto (gate) of trein (RMG)</w:t>
            </w:r>
          </w:p>
        </w:tc>
        <w:tc>
          <w:tcPr>
            <w:tcW w:type="dxa" w:w="3061"/>
          </w:tcPr>
          <w:p>
            <w:r>
              <w:rPr>
                <w:sz w:val="17"/>
              </w:rPr>
              <w:t>Kade 5 x 30 = 150 box/u per schip. Landzijde: 527 truckbezoeken in het piekuur -&gt; 9 rijstroken per richting; buffer 30 min = 264 trucks (2,6 ha); 32,6 treinen per piekdag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Apron 60 m, rijstrook 30 m, stack 113,6 ha; gate 10 in + 10 uit; pre-gate 3,2 ha; railterminal 5 sporen x 1.300 m (40 treinen/dag)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Graan (export)</w:t>
            </w:r>
          </w:p>
        </w:tc>
        <w:tc>
          <w:tcPr>
            <w:tcW w:type="dxa" w:w="2381"/>
          </w:tcPr>
          <w:p>
            <w:r>
              <w:rPr>
                <w:sz w:val="17"/>
              </w:rPr>
              <w:t>vrachtauto/trein - stortput - silo - transportband - shiploader - schip</w:t>
            </w:r>
          </w:p>
        </w:tc>
        <w:tc>
          <w:tcPr>
            <w:tcW w:type="dxa" w:w="3061"/>
          </w:tcPr>
          <w:p>
            <w:r>
              <w:rPr>
                <w:sz w:val="17"/>
              </w:rPr>
              <w:t>Piekdag 7.500 t: 101 trucks/dag, 3,5 treinen/week van 1.400 m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Wachtplaats 30 trucks, 2 opstelsporen x 1.400 m, silo's 169.646 t, 2 shiploaders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RoRo (import)</w:t>
            </w:r>
          </w:p>
        </w:tc>
        <w:tc>
          <w:tcPr>
            <w:tcW w:type="dxa" w:w="2381"/>
          </w:tcPr>
          <w:p>
            <w:r>
              <w:rPr>
                <w:sz w:val="17"/>
              </w:rPr>
              <w:t>schip - ramp - opstelzone - PDI - parkeervak - laadstraat autotransporters</w:t>
            </w:r>
          </w:p>
        </w:tc>
        <w:tc>
          <w:tcPr>
            <w:tcW w:type="dxa" w:w="3061"/>
          </w:tcPr>
          <w:p>
            <w:r>
              <w:rPr>
                <w:sz w:val="17"/>
              </w:rPr>
              <w:t>Lossen 43,3 u per call met ca. 20 chauffeurs; 93 autotransporters per piekdag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Opstelzone 60 m langs de kade, PDI-hal, parkeervakken ca. 9.698 auto's, laadstraat</w:t>
            </w:r>
          </w:p>
        </w:tc>
      </w:tr>
      <w:tr>
        <w:tc>
          <w:tcPr>
            <w:tcW w:type="dxa" w:w="1361"/>
          </w:tcPr>
          <w:p>
            <w:r>
              <w:rPr>
                <w:sz w:val="17"/>
              </w:rPr>
              <w:t>LNG</w:t>
            </w:r>
          </w:p>
        </w:tc>
        <w:tc>
          <w:tcPr>
            <w:tcW w:type="dxa" w:w="2381"/>
          </w:tcPr>
          <w:p>
            <w:r>
              <w:rPr>
                <w:sz w:val="17"/>
              </w:rPr>
              <w:t>schip - laadarmen - cryogene leiding - tanks - hervergassing - centrale / gasnet</w:t>
            </w:r>
          </w:p>
        </w:tc>
        <w:tc>
          <w:tcPr>
            <w:tcW w:type="dxa" w:w="3061"/>
          </w:tcPr>
          <w:p>
            <w:r>
              <w:rPr>
                <w:sz w:val="17"/>
              </w:rPr>
              <w:t>Lossen 23,7 u per call; send-out gemiddeld 913 m3 LNG/u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3 laadarmen, losleiding + dampretour ca. 2 km langs de dam, 3 tanks + plaats 4e, hervergassing 4 x 33%</w:t>
            </w:r>
          </w:p>
        </w:tc>
      </w:tr>
    </w:tbl>
    <w:p/>
    <w:p>
      <w:r>
        <w:t>Projectaannamen: modal split containers 70% weg / 30% spoor; piekdag 1,3 x gemiddeld; piekuur 10% van de piekdag; 1,3 box per truckbezoek; 60 trucks per uur per gate-rijstrook; 90 boxen per trein en 6 uur per trein; graan in de oogstmaand 15% van de jaarhoeveelheid, 50% per weg (37 t per truck) en 50% per spoor (7.600 t per trein, 80 wagens); RoRo-rijcyclus 8 minuten, 8 auto's per autotransporter. Toetsen met de terminaloperator en het achterlandvervoer.</w:t>
      </w:r>
    </w:p>
    <w:p>
      <w:pPr>
        <w:pStyle w:val="Heading2"/>
      </w:pPr>
      <w:r>
        <w:t>6.6 Maatstaat en aansluiting op het rekenboek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737"/>
        <w:gridCol w:w="1247"/>
        <w:gridCol w:w="1247"/>
        <w:gridCol w:w="1984"/>
        <w:gridCol w:w="1474"/>
      </w:tblGrid>
      <w:tr>
        <w:tc>
          <w:tcPr>
            <w:tcW w:type="dxa" w:w="2835"/>
          </w:tcPr>
          <w:p>
            <w:r>
              <w:rPr>
                <w:sz w:val="17"/>
              </w:rPr>
              <w:t>Onderdeel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Eenheid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Gemeten DO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Rekenboek/eis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Cel / bron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Status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Hoofdgeul bodembreedte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220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220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D20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rekenuitkomst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Bodemhoogte geul en bekkens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 MLWS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-18,2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-18,2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D25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voorlopig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Geullengte buiten havenmond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35.000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D31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GEBCO, geen peiling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Vaarafstand geuleinde - draaikom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36.720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D31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GEBCO, geen peiling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Vrije draaikom voorhaven diameter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720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720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D28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vrij getoetst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Draaikom tot afgemeerde schepen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416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&gt;0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Draaikom tot kades/dammen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397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&gt;0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Havenmond vrij tussen footprints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350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350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D29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Stopweg havenmond - draaikom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1.720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1.670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5 x LOA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Sleepbootkoppelpunt buiten mond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1.500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rapport 5.1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ingetekend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Containerkade fase 1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802,2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800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Containers D18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Containerkade fase 2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1.203,3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1.200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Containers E18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Containerkade fase 3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1.604,4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1.600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Containers F18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Containerterrein fase 1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72,0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72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D20 (vraag 40,8)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Containerterrein fase 2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108,0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108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E20 (vraag 67,9)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Containerterrein fase 3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144,0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144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F20 (vraag 135,9)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Graankade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rapport 8.1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Graanterrein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30,4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D39 (vraag 5,1)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RoRo-kade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rapport 8.2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RoRo-terrein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30,2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D46 (vraag 26,9)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Zwaaiplaats binnenhaven (met sleepboten)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500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501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1,5 x LOA container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vrij getoetst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 xml:space="preserve">  afstand tot oever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91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&gt;0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Dieptezone LNG-vaarweg en -ligplaats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 MLWS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-16,2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-16,2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diepgang 12,5 + 3,7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bespaart bagger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Dieptezone RoRo-ligplaats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 MLWS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-13,7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-13,7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diepgang 10,0 + 3,7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bespaart bagger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Golftoets containers (Hs insteek)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0,0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0,5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DO-09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Golftoets graan (Hs)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0,7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1,0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DO-09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Golftoets RoRo (Hs)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0,0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0,3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DO-09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Golftoets LNG (Hs)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0,9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1,0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DO-09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LNG cryogene leiding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1.353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ingekort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Schepen in LNG-zone 250 m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st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Hong Kong LNG annex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Containerterrein tot tankzone 250 m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46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&gt;0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voldoet; QRA volgt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 xml:space="preserve">  afstand tot afgemeerde schepen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165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&gt;0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LNG-ligplaatsenvelop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400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400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tekenbrief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dolphins indicatief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LNG-envelop tot draaikom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876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&gt;0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vrij; QRA volgt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LNG-tanks tot containerterrein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296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QRA volgt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LNG-zone (tanks + hervergassing)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36,3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D51-D52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3 tanks + optie 4e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Centrale + utilities (reservering)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43,5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geen vast oppervlak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reservering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STS-kranen F1 / F2 / F3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st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6 / 12 / 20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6 / 12 / 20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Containers D19-F19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TEU-grondslots stackzone F3 (28 m2/slot)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slots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40.558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40.444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Containers F25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Stackzone bruto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113,6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113,2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Containers F26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Graansilo's 8 x D 30 m x 40 m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t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169.646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154.100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Overige terminals F9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RoRo-parkeercapaciteit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auto's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9.698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7.479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Overige terminals F15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Centrale STEG-eenheden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MW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2.260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2.256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Overige terminals F30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rekenvoorbeeld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Havendiensten / sleepboten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43,0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reservering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Vrije breedte hoofdbekken met graanschip aan de kade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334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220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Binnenbekken gebaggerd fase 1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1.189.081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Binnenbekken gebaggerd fase 2 (cumulatief)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1.419.486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Binnenbekken gebaggerd fase 3 (cumulatief)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1.649.890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Voorhaven + LNG-insteek gebaggerd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1.132.971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Havenbekken totaal (zone 1)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2.782.861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Grondwerk C6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ingevuld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Geul buiten de mond (zone 2 + 3)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7.700.000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Grondwerk C7 + C8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gesplitst op -15 m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Baggervolume zone 1 / 2 / 3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mln m3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59,1 / 29,9 / 3,6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Grondwerk F6-F8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celmethode, indicatief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Terreinophoging (terminals, LNG, centrale, havendienst)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3.273.444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Grondwerk D21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ingevuld</w:t>
            </w:r>
          </w:p>
        </w:tc>
      </w:tr>
    </w:tbl>
    <w:p/>
    <w:p>
      <w:pPr>
        <w:pStyle w:val="Heading2"/>
      </w:pPr>
      <w:r>
        <w:t>6.7 Ontwerpankerpunten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3118"/>
        <w:gridCol w:w="1361"/>
        <w:gridCol w:w="1474"/>
        <w:gridCol w:w="1304"/>
        <w:gridCol w:w="1304"/>
      </w:tblGrid>
      <w:tr>
        <w:tc>
          <w:tcPr>
            <w:tcW w:type="dxa" w:w="680"/>
          </w:tcPr>
          <w:p>
            <w:r>
              <w:rPr>
                <w:sz w:val="17"/>
              </w:rPr>
              <w:t>Punt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Omschrijving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E (m)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N (m)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Lat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Lon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A1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Referentiepunt kust (render 812,5 / 275)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297.135,0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7.650.000,0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-21.240329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-40.954826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A2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Middelpunt vrije draaikom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297.534,6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7.649.611,9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-21.243878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-40.951023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A3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Midden havenmond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299.233,2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7.649.340,8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-21.246515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-40.934695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A4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Sleepbootkoppelpunt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300.714,4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7.649.104,3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-21.248813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-40.920454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A5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Eindpunt geul (voorlopig)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333.795,6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7.643.823,8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-21.299835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-40.602281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A6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Wortel noordelijke golfbreker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297.202,3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7.650.918,8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-21.232040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-40.954069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A7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Wortel zuidelijke golfbreker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296.285,1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7.647.740,8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-21.260634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-40.963283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A8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Containerkade noordeinde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295.982,5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7.649.572,6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-21.244060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-40.965978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A9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Containerkade zuideinde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295.525,1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7.648.034,8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-21.257895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-40.970569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A10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LNG-steigerkop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297.643,1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7.648.245,2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-21.256232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-40.950141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A11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Graankade midden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296.296,5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7.650.045,7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-21.239822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-40.962897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A12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RoRo-kade midden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295.265,7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7.649.177,7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-21.247545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-40.972930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A13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Middelpunt draaikom binnenhaven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295.569,8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7.649.775,0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-21.242186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-40.969929</w:t>
            </w:r>
          </w:p>
        </w:tc>
      </w:tr>
    </w:tbl>
    <w:p/>
    <w:p>
      <w:pPr>
        <w:pStyle w:val="Heading2"/>
      </w:pPr>
      <w:r>
        <w:t>6.8 Fasering</w:t>
      </w:r>
    </w:p>
    <w:p>
      <w:r>
        <w:t>Golfbrekers, geul, draaikom, LNG-steiger en de leidingcorridors worden in fase 1 op eindmaat gebouwd. Containerkades en het binnenbekken groeien in drie stappen landinwaarts, aan het doodlopende eind van het bekken, zodat uitbreiding de vaarroute naar werkende kades niet blokkeert.</w:t>
      </w:r>
    </w:p>
    <w:p>
      <w:r>
        <w:drawing>
          <wp:inline xmlns:a="http://schemas.openxmlformats.org/drawingml/2006/main" xmlns:pic="http://schemas.openxmlformats.org/drawingml/2006/picture">
            <wp:extent cx="5940000" cy="419746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-03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Figuur 5 Fasering 2025 - 2035 - 2045 (DO-03).</w:t>
      </w:r>
    </w:p>
    <w:p>
      <w:pPr>
        <w:pStyle w:val="Heading1"/>
      </w:pPr>
      <w:r>
        <w:t>7 Open punten (herkenbaar voorlopig)</w:t>
      </w:r>
    </w:p>
    <w:p>
      <w:pPr>
        <w:pStyle w:val="ListBullet"/>
      </w:pPr>
      <w:r>
        <w:t>Multibeampeiling langs het geultracé en in de voorhaven: geullengte en volumes nu uit GEBCO (ca. 450 m), +-1 m onzeker.</w:t>
      </w:r>
    </w:p>
    <w:p>
      <w:pPr>
        <w:pStyle w:val="ListBullet"/>
      </w:pPr>
      <w:r>
        <w:t>Koppeling MLWS - DHN (nu aanname MSL - 0,7 m) en een maaiveldmodel zonder begroeiing (DTM i.p.v. DSM).</w:t>
      </w:r>
    </w:p>
    <w:p>
      <w:pPr>
        <w:pStyle w:val="ListBullet"/>
      </w:pPr>
      <w:r>
        <w:t>Golfdoordringing met een numeriek model (SWAN/Boussinesq) incl. reflectie en lange golven; nu diffractie-schatting (DO-09).</w:t>
      </w:r>
    </w:p>
    <w:p>
      <w:pPr>
        <w:pStyle w:val="ListBullet"/>
      </w:pPr>
      <w:r>
        <w:t>Golfbrekerontwerp (kruin, taluds, golfklimaat): footprint en havenmond opnieuw meten.</w:t>
      </w:r>
    </w:p>
    <w:p>
      <w:pPr>
        <w:pStyle w:val="ListBullet"/>
      </w:pPr>
      <w:r>
        <w:t>QRA LNG (nu indicatieve zones 250 m / 500 m) en N-1-voorraadbeleid; definitieve dolphins.</w:t>
      </w:r>
    </w:p>
    <w:p>
      <w:pPr>
        <w:pStyle w:val="ListBullet"/>
      </w:pPr>
      <w:r>
        <w:t>Vermogen en proceskeuze centrale; koelwaterstudie.</w:t>
      </w:r>
    </w:p>
    <w:p>
      <w:pPr>
        <w:pStyle w:val="ListBullet"/>
      </w:pPr>
      <w:r>
        <w:t>Afstemming met het bouwterrein fase 1 en het officiële Porto Central-masterplan (exacte as en kadeligging).</w:t>
      </w:r>
    </w:p>
    <w:p>
      <w:pPr>
        <w:pStyle w:val="ListBullet"/>
      </w:pPr>
      <w:r>
        <w:t>Variantafweging (tabblad Afweging) met de eigen groepsschetsen en motivering.</w:t>
      </w:r>
    </w:p>
    <w:p>
      <w:pPr>
        <w:pStyle w:val="Heading1"/>
      </w:pPr>
      <w:r>
        <w:t>8 Werkwijze in Civil 3D</w:t>
      </w:r>
    </w:p>
    <w:p>
      <w:pPr>
        <w:pStyle w:val="ListNumber"/>
      </w:pPr>
      <w:r>
        <w:t>Kopieer de map CAD inclusief de submap Ondergrond; de luchtfoto is met een relatief pad gekoppeld.</w:t>
      </w:r>
    </w:p>
    <w:p>
      <w:pPr>
        <w:pStyle w:val="ListNumber"/>
      </w:pPr>
      <w:r>
        <w:t>Open Haven_DO.dxf (en Haven_SO.dxf) in Civil 3D. Controleer met EXTERNALREFERENCES dat S2_20260703_TCI_EPSG31984.jpg gevonden wordt.</w:t>
      </w:r>
    </w:p>
    <w:p>
      <w:pPr>
        <w:pStyle w:val="ListNumber"/>
      </w:pPr>
      <w:r>
        <w:t>Toolspace &gt; Settings &gt; Drawing Settings &gt; Units and Zone: eenheid meter, categorie Brazil (of UTM SIRGAS 2000), zone SIRGAS2000.UTM-24S (EPSG:31984). Teken niets te verschuiven: de objecten staan al op projectcoördinaten.</w:t>
      </w:r>
    </w:p>
    <w:p>
      <w:pPr>
        <w:pStyle w:val="ListNumber"/>
      </w:pPr>
      <w:r>
        <w:t>Geolocation &gt; Map Aerial of Map Hybrid aanzetten als controle; meet drie herkenningspunten en vul de tabel in het tabblad Georeferentie in.</w:t>
      </w:r>
    </w:p>
    <w:p>
      <w:pPr>
        <w:pStyle w:val="ListNumber"/>
      </w:pPr>
      <w:r>
        <w:t>Leg het online kaartbeeld vast met GEOMAPIMAGE zodat het ook in de PDF wordt geplot (of gebruik de meegeleverde Sentinel-2-ondergrond).</w:t>
      </w:r>
    </w:p>
    <w:p>
      <w:pPr>
        <w:pStyle w:val="ListNumber"/>
      </w:pPr>
      <w:r>
        <w:t>Opslaan als: SAVEAS &gt; AutoCAD 2018 Drawing &gt; Haven_DO.dwg en Haven_SO.dwg.</w:t>
      </w:r>
    </w:p>
    <w:p>
      <w:pPr>
        <w:pStyle w:val="ListNumber"/>
      </w:pPr>
      <w:r>
        <w:t>Insert &gt; Import LandXML: Haven_DO_geul_ontwerpbodem.xml geeft de Alignment 'Hoofdgeul_DO' en per dieptezone een oppervlak (Ontwerpbodem_DO_-18_20, _-16_20, _-13_70). Ondergrond/bestaand_bodem_MLWS_EPSG31984.tif kan als bestaand oppervlak worden ingelezen (Create Surface from DEM); vergelijk met het Volumes Dashboard.</w:t>
      </w:r>
    </w:p>
    <w:p>
      <w:pPr>
        <w:pStyle w:val="ListNumber"/>
      </w:pPr>
      <w:r>
        <w:t>Plotten: layout 'DO-02 A1 1-12500' (viewport 1:12.500, titelblok en legenda staan klaar) naar PDF; of gebruik de meegeleverde PDF's.</w:t>
      </w:r>
    </w:p>
    <w:p>
      <w:pPr>
        <w:pStyle w:val="ListNumber"/>
      </w:pPr>
      <w:r>
        <w:t>Lagen: HV-* (zie legenda). De maatvoering staat op HV-MAAT als echte DIMENSION-objecten; het raster 1 km staat op HV-RASTER (uit).</w:t>
      </w:r>
    </w:p>
    <w:p>
      <w:pPr>
        <w:pStyle w:val="Heading1"/>
      </w:pPr>
      <w:r>
        <w:t>Bronnen</w:t>
      </w:r>
    </w:p>
    <w:p>
      <w:pPr>
        <w:pStyle w:val="ListBullet"/>
      </w:pPr>
      <w:r>
        <w:t>Copernicus Sentinel-2 L2A (ESA), tegels 24KTB/24KUB, 03-07-2026, via AWS Open Data Registry (sentinel-cogs). Geraadpleegd 22-10-2026.</w:t>
      </w:r>
    </w:p>
    <w:p>
      <w:pPr>
        <w:pStyle w:val="ListBullet"/>
      </w:pPr>
      <w:r>
        <w:t>Wessel, P. en Smith, W.H.F., GSHHG - A Global Self-consistent, Hierarchical, High-resolution Geography Database (full resolution), via basemap-data-hires.</w:t>
      </w:r>
    </w:p>
    <w:p>
      <w:pPr>
        <w:pStyle w:val="ListBullet"/>
      </w:pPr>
      <w:r>
        <w:t>Opdrachtomschrijving_Civil3D, Tekenbrief_en_ontwerpkeuzes, Rapport_herontwerp en Rekenboek_herontwerp, Groep 1, 22-10-2026.</w:t>
      </w:r>
    </w:p>
    <w:p>
      <w:pPr>
        <w:pStyle w:val="ListBullet"/>
      </w:pPr>
      <w:r>
        <w:t>J. Ferro da Cunha Lima, O Caso Porto Central, ANTT, 16-06-2016, p. 9 (vormreferentie).</w:t>
      </w:r>
    </w:p>
    <w:p>
      <w:pPr>
        <w:pStyle w:val="ListBullet"/>
      </w:pPr>
      <w:r>
        <w:t>PIANC WG121 (2014), Harbour Approach Channels Design Guidelines.</w:t>
      </w:r>
    </w:p>
    <w:p>
      <w:pPr>
        <w:pStyle w:val="ListBullet"/>
      </w:pPr>
      <w:r>
        <w:t>GEBCO Compilation Group (2026), GEBCO 2026 Grid, via Source Cooperative (https://data.source.coop/giswqs/gebco-bathymetry/README.md).</w:t>
      </w:r>
    </w:p>
    <w:p>
      <w:pPr>
        <w:pStyle w:val="ListBullet"/>
      </w:pPr>
      <w:r>
        <w:t>Copernicus DEM GLO-30 (ESA/Airbus), AWS Open Data Registry.</w:t>
      </w:r>
    </w:p>
    <w:p>
      <w:pPr>
        <w:pStyle w:val="ListBullet"/>
      </w:pPr>
      <w:r>
        <w:t>Hong Kong Offshore LNG Terminal, Environmental Permit submission, Annex A-1 (https://www.hkolng.com/ep_submissions/FEP01/SMP_042023/annexes/Annex_A-1.pdf).</w:t>
      </w:r>
    </w:p>
    <w:p>
      <w:pPr>
        <w:pStyle w:val="ListBullet"/>
      </w:pPr>
      <w:r>
        <w:t>Congressional Research Service, Liquefied Natural Gas (LNG) Import Terminals: Siting, Safety, and Regulation, RL32205.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