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8"/>
        </w:rPr>
        <w:t>ОТЧЕТ ПО ЛАБОРАТОРНОЙ РАБОТЕ №1</w:t>
        <w:br/>
      </w:r>
      <w:r>
        <w:rPr>
          <w:rFonts w:ascii="Times New Roman" w:hAnsi="Times New Roman"/>
          <w:i/>
          <w:sz w:val="24"/>
        </w:rPr>
        <w:t>Тема: Инспекция программного кода на предмет соответствия стандартам кодирования (Задание 5.1)</w:t>
        <w:br/>
        <w:t>Дисциплина: МДК.02.01 Технология разработки программного обеспечения</w:t>
        <w:br/>
        <w:t>Объект инспекции: Программный комплекс mdk1101_project</w:t>
      </w:r>
    </w:p>
    <w:p/>
    <w:p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line="300" w:lineRule="auto"/>
        <w:ind w:firstLine="706"/>
        <w:jc w:val="left"/>
      </w:pPr>
      <w:r>
        <w:rPr>
          <w:rFonts w:ascii="Times New Roman" w:hAnsi="Times New Roman"/>
          <w:color w:val="000000"/>
          <w:sz w:val="24"/>
        </w:rPr>
        <w:t xml:space="preserve">Изучить процесс выполнения инспекции программного кода на предмет соответствия стандартам кодирования. Провести детальный анализ кодовой базы и архитектурных решений итогового проекта </w:t>
      </w:r>
      <w:r>
        <w:rPr>
          <w:rFonts w:ascii="Consolas" w:hAnsi="Consolas"/>
          <w:b/>
          <w:color w:val="000000"/>
          <w:sz w:val="22"/>
        </w:rPr>
        <w:t>mdk1101_project</w:t>
      </w:r>
      <w:r>
        <w:rPr>
          <w:rFonts w:ascii="Times New Roman" w:hAnsi="Times New Roman"/>
          <w:color w:val="000000"/>
          <w:sz w:val="24"/>
        </w:rPr>
        <w:t xml:space="preserve"> на соответствие 8 критериям качества ПО с приведением подтверждений из кодовой базы, измерением фактического покрытия тестами и выработкой рекомендаций по оптимизации.</w:t>
      </w:r>
    </w:p>
    <w:p>
      <w:r>
        <w:rPr>
          <w:rFonts w:ascii="Times New Roman" w:hAnsi="Times New Roman"/>
          <w:b/>
          <w:sz w:val="28"/>
        </w:rPr>
        <w:t>2. Задание 5.1: Проверка кода на соответствие критериям качества ПО</w:t>
      </w:r>
    </w:p>
    <w:p>
      <w:pPr>
        <w:jc w:val="left"/>
      </w:pPr>
      <w:r>
        <w:rPr>
          <w:rFonts w:ascii="Times New Roman" w:hAnsi="Times New Roman"/>
          <w:b/>
          <w:sz w:val="24"/>
        </w:rPr>
        <w:t>Таблица 1 – Анализ проекта mdk1101_project на соответствие критериям качества ПО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  <w:gridCol w:w="3704"/>
      </w:tblGrid>
      <w:tr>
        <w:trPr>
          <w:tblHeader/>
        </w:trPr>
        <w:tc>
          <w:tcPr>
            <w:tcW w:type="dxa" w:w="2304"/>
            <w:shd w:val="clear" w:color="auto" w:fill="F0F0F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Критерий качества ПО</w:t>
            </w:r>
          </w:p>
        </w:tc>
        <w:tc>
          <w:tcPr>
            <w:tcW w:type="dxa" w:w="3024"/>
            <w:shd w:val="clear" w:color="auto" w:fill="F0F0F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Что анализируется для указанного критерия</w:t>
            </w:r>
          </w:p>
        </w:tc>
        <w:tc>
          <w:tcPr>
            <w:tcW w:type="dxa" w:w="6912"/>
            <w:shd w:val="clear" w:color="auto" w:fill="F0F0F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Доказательство соответствия ПО (фрагмент кода и объяснение)</w:t>
            </w:r>
          </w:p>
        </w:tc>
        <w:tc>
          <w:tcPr>
            <w:tcW w:type="dxa" w:w="2578"/>
            <w:shd w:val="clear" w:color="auto" w:fill="F0F0F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Рекомендации по улучшению ПО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1. Функциональная пригодность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Полнота и математическая точность реализации требований ТЗ: вычисление цен со скидками, округление финансовых сумм до копеек, учет складских остатков и статусов заказов.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файле </w:t>
            </w:r>
            <w:r>
              <w:rPr>
                <w:rFonts w:ascii="Consolas" w:hAnsi="Consolas"/>
                <w:b/>
                <w:color w:val="000000"/>
                <w:sz w:val="22"/>
              </w:rPr>
              <w:t>domain.py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метод </w:t>
            </w:r>
            <w:r>
              <w:rPr>
                <w:rFonts w:ascii="Consolas" w:hAnsi="Consolas"/>
                <w:b/>
                <w:color w:val="000000"/>
                <w:sz w:val="22"/>
              </w:rPr>
              <w:t>discounted_price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выполняет расчет стоимости исключительно с применением типа </w:t>
            </w:r>
            <w:r>
              <w:rPr>
                <w:rFonts w:ascii="Consolas" w:hAnsi="Consolas"/>
                <w:b/>
                <w:color w:val="000000"/>
                <w:sz w:val="22"/>
              </w:rPr>
              <w:t>Decimal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 банковского округления </w:t>
            </w:r>
            <w:r>
              <w:rPr>
                <w:rFonts w:ascii="Consolas" w:hAnsi="Consolas"/>
                <w:b/>
                <w:color w:val="000000"/>
                <w:sz w:val="22"/>
              </w:rPr>
              <w:t>ROUND_HALF_UP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до двух знаков (копеек). Это исключает погрешности с плавающей точкой IEEE 754, возникающие при использовании типа </w:t>
            </w:r>
            <w:r>
              <w:rPr>
                <w:rFonts w:ascii="Consolas" w:hAnsi="Consolas"/>
                <w:b/>
                <w:color w:val="000000"/>
                <w:sz w:val="22"/>
              </w:rPr>
              <w:t>float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. Свойства </w:t>
            </w:r>
            <w:r>
              <w:rPr>
                <w:rFonts w:ascii="Consolas" w:hAnsi="Consolas"/>
                <w:b/>
                <w:color w:val="000000"/>
                <w:sz w:val="22"/>
              </w:rPr>
              <w:t>has_discount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 </w:t>
            </w:r>
            <w:r>
              <w:rPr>
                <w:rFonts w:ascii="Consolas" w:hAnsi="Consolas"/>
                <w:b/>
                <w:color w:val="000000"/>
                <w:sz w:val="22"/>
              </w:rPr>
              <w:t>in_stock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детерминированно управляют отображением в интерфейсе.</w:t>
              <w:br/>
            </w:r>
          </w:p>
          <w:p>
            <w:pPr>
              <w:spacing w:before="80" w:after="8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06240" cy="26321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1_functional_suitabilit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63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7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1. Внедрить проверку лимита скидки </w:t>
            </w:r>
            <w:r>
              <w:rPr>
                <w:rFonts w:ascii="Consolas" w:hAnsi="Consolas"/>
                <w:b/>
                <w:color w:val="000000"/>
                <w:sz w:val="22"/>
              </w:rPr>
              <w:t>discount_percent &lt;= max_discount_percent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в классе </w:t>
            </w:r>
            <w:r>
              <w:rPr>
                <w:rFonts w:ascii="Consolas" w:hAnsi="Consolas"/>
                <w:b/>
                <w:color w:val="000000"/>
                <w:sz w:val="22"/>
              </w:rPr>
              <w:t>Product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  <w:br/>
              <w:t xml:space="preserve">2. Вынести правила расчета скидок в паттерн </w:t>
            </w:r>
            <w:r>
              <w:rPr>
                <w:rFonts w:ascii="Consolas" w:hAnsi="Consolas"/>
                <w:b/>
                <w:color w:val="000000"/>
                <w:sz w:val="22"/>
              </w:rPr>
              <w:t>DiscountStrategy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2. Уровень производительности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Время отклика эндпоинтов API, эффективная пагинация выборок из SQLite и отсутствие избыточной загрузки памяти при росте каталога.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модуле </w:t>
            </w:r>
            <w:r>
              <w:rPr>
                <w:rFonts w:ascii="Consolas" w:hAnsi="Consolas"/>
                <w:b/>
                <w:color w:val="000000"/>
                <w:sz w:val="22"/>
              </w:rPr>
              <w:t>main.py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эндпоинт </w:t>
            </w:r>
            <w:r>
              <w:rPr>
                <w:rFonts w:ascii="Consolas" w:hAnsi="Consolas"/>
                <w:b/>
                <w:color w:val="000000"/>
                <w:sz w:val="22"/>
              </w:rPr>
              <w:t>GET /catalog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использует обязательную серверную пагинацию (параметры </w:t>
            </w:r>
            <w:r>
              <w:rPr>
                <w:rFonts w:ascii="Consolas" w:hAnsi="Consolas"/>
                <w:b/>
                <w:color w:val="000000"/>
                <w:sz w:val="22"/>
              </w:rPr>
              <w:t>page &gt;= 1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 </w:t>
            </w:r>
            <w:r>
              <w:rPr>
                <w:rFonts w:ascii="Consolas" w:hAnsi="Consolas"/>
                <w:b/>
                <w:color w:val="000000"/>
                <w:sz w:val="22"/>
              </w:rPr>
              <w:t>page_size &lt;= 100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). В </w:t>
            </w:r>
            <w:r>
              <w:rPr>
                <w:rFonts w:ascii="Consolas" w:hAnsi="Consolas"/>
                <w:b/>
                <w:color w:val="000000"/>
                <w:sz w:val="22"/>
              </w:rPr>
              <w:t>crud.py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фильтрация по подстроке, бренду и цене выполняется с предварительным усечением выборки, что исключает загрузку лишних строк в память и снижает нагрузку на сервер.</w:t>
              <w:br/>
            </w:r>
          </w:p>
          <w:p>
            <w:pPr>
              <w:spacing w:before="80" w:after="8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06240" cy="34062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_performance_efficienc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406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7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1. Перевести сессии SQLAlchemy на </w:t>
            </w:r>
            <w:r>
              <w:rPr>
                <w:rFonts w:ascii="Consolas" w:hAnsi="Consolas"/>
                <w:b/>
                <w:color w:val="000000"/>
                <w:sz w:val="22"/>
              </w:rPr>
              <w:t>AsyncSession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с драйвером </w:t>
            </w:r>
            <w:r>
              <w:rPr>
                <w:rFonts w:ascii="Consolas" w:hAnsi="Consolas"/>
                <w:b/>
                <w:color w:val="000000"/>
                <w:sz w:val="22"/>
              </w:rPr>
              <w:t>aiosqlite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  <w:br/>
              <w:t xml:space="preserve">2. Внедрить </w:t>
            </w:r>
            <w:r>
              <w:rPr>
                <w:rFonts w:ascii="Consolas" w:hAnsi="Consolas"/>
                <w:b/>
                <w:color w:val="000000"/>
                <w:sz w:val="22"/>
              </w:rPr>
              <w:t>LRU-кэш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для справочников </w:t>
            </w:r>
            <w:r>
              <w:rPr>
                <w:rFonts w:ascii="Consolas" w:hAnsi="Consolas"/>
                <w:b/>
                <w:color w:val="000000"/>
                <w:sz w:val="22"/>
              </w:rPr>
              <w:t>/manufacturers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 категорий.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3. Совместимость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Способность компонентов работать в различных средах, переиспользование общего слоя DTO и сетевого клиента между веб-клиентом и десктопом.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проекте реализован единый разделяемый слой </w:t>
            </w:r>
            <w:r>
              <w:rPr>
                <w:rFonts w:ascii="Consolas" w:hAnsi="Consolas"/>
                <w:b/>
                <w:color w:val="000000"/>
                <w:sz w:val="22"/>
              </w:rPr>
              <w:t>solution/shared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. Модуль </w:t>
            </w:r>
            <w:r>
              <w:rPr>
                <w:rFonts w:ascii="Consolas" w:hAnsi="Consolas"/>
                <w:b/>
                <w:color w:val="000000"/>
                <w:sz w:val="22"/>
              </w:rPr>
              <w:t>api.ts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содержит обертку над вызовами </w:t>
            </w:r>
            <w:r>
              <w:rPr>
                <w:rFonts w:ascii="Consolas" w:hAnsi="Consolas"/>
                <w:b/>
                <w:color w:val="000000"/>
                <w:sz w:val="22"/>
              </w:rPr>
              <w:t>fetch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которая используется как веб-клиентом на </w:t>
            </w:r>
            <w:r>
              <w:rPr>
                <w:rFonts w:ascii="Consolas" w:hAnsi="Consolas"/>
                <w:b/>
                <w:color w:val="000000"/>
                <w:sz w:val="22"/>
              </w:rPr>
              <w:t>React 19 + Vite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</w:t>
            </w:r>
            <w:r>
              <w:rPr>
                <w:rFonts w:ascii="Consolas" w:hAnsi="Consolas"/>
                <w:b/>
                <w:color w:val="000000"/>
                <w:sz w:val="22"/>
              </w:rPr>
              <w:t>solution/web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), так и настольным клиентом на </w:t>
            </w:r>
            <w:r>
              <w:rPr>
                <w:rFonts w:ascii="Consolas" w:hAnsi="Consolas"/>
                <w:b/>
                <w:color w:val="000000"/>
                <w:sz w:val="22"/>
              </w:rPr>
              <w:t>Tauri 2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</w:t>
            </w:r>
            <w:r>
              <w:rPr>
                <w:rFonts w:ascii="Consolas" w:hAnsi="Consolas"/>
                <w:b/>
                <w:color w:val="000000"/>
                <w:sz w:val="22"/>
              </w:rPr>
              <w:t>solution/desktop</w:t>
            </w:r>
            <w:r>
              <w:rPr>
                <w:rFonts w:ascii="Times New Roman" w:hAnsi="Times New Roman"/>
                <w:color w:val="000000"/>
                <w:sz w:val="24"/>
              </w:rPr>
              <w:t>). Единый контракт REST API обеспечивает 100% идентичность логики на Windows, macOS и Linux.</w:t>
              <w:br/>
            </w:r>
          </w:p>
          <w:p>
            <w:pPr>
              <w:spacing w:before="80" w:after="8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06240" cy="35998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3_compatibilit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599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7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1. Настроить автогенерацию типов TypeScript из </w:t>
            </w:r>
            <w:r>
              <w:rPr>
                <w:rFonts w:ascii="Consolas" w:hAnsi="Consolas"/>
                <w:b/>
                <w:color w:val="000000"/>
                <w:sz w:val="22"/>
              </w:rPr>
              <w:t>openapi.json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через </w:t>
            </w:r>
            <w:r>
              <w:rPr>
                <w:rFonts w:ascii="Consolas" w:hAnsi="Consolas"/>
                <w:b/>
                <w:color w:val="000000"/>
                <w:sz w:val="22"/>
              </w:rPr>
              <w:t>openapi-typescript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  <w:br/>
              <w:t xml:space="preserve">2. Оформить слой </w:t>
            </w:r>
            <w:r>
              <w:rPr>
                <w:rFonts w:ascii="Consolas" w:hAnsi="Consolas"/>
                <w:b/>
                <w:color w:val="000000"/>
                <w:sz w:val="22"/>
              </w:rPr>
              <w:t>shared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в виде локального npm-пакета.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4. Удобство использования (юзабилити)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Устойчивость интерфейса к отсутствию медиа-файлов, сохранение структуры сетки и наглядная цветовая дифференциация по условиям ТЗ.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компоненте </w:t>
            </w:r>
            <w:r>
              <w:rPr>
                <w:rFonts w:ascii="Consolas" w:hAnsi="Consolas"/>
                <w:b/>
                <w:color w:val="000000"/>
                <w:sz w:val="22"/>
              </w:rPr>
              <w:t>ProductCard.tsx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реализован fallback </w:t>
            </w:r>
            <w:r>
              <w:rPr>
                <w:rFonts w:ascii="Consolas" w:hAnsi="Consolas"/>
                <w:b/>
                <w:color w:val="000000"/>
                <w:sz w:val="22"/>
              </w:rPr>
              <w:t>src={product.imagePath || '/picture.png'}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 обработчик </w:t>
            </w:r>
            <w:r>
              <w:rPr>
                <w:rFonts w:ascii="Consolas" w:hAnsi="Consolas"/>
                <w:b/>
                <w:color w:val="000000"/>
                <w:sz w:val="22"/>
              </w:rPr>
              <w:t>onError</w:t>
            </w:r>
            <w:r>
              <w:rPr>
                <w:rFonts w:ascii="Times New Roman" w:hAnsi="Times New Roman"/>
                <w:color w:val="000000"/>
                <w:sz w:val="24"/>
              </w:rPr>
              <w:t>, предотвращающий появление 'битых' иконок картинок в браузере. По ТЗ карточки автоматически окрашиваются: в синий (</w:t>
            </w:r>
            <w:r>
              <w:rPr>
                <w:rFonts w:ascii="Consolas" w:hAnsi="Consolas"/>
                <w:b/>
                <w:color w:val="000000"/>
                <w:sz w:val="22"/>
              </w:rPr>
              <w:t>#0000ff</w:t>
            </w:r>
            <w:r>
              <w:rPr>
                <w:rFonts w:ascii="Times New Roman" w:hAnsi="Times New Roman"/>
                <w:color w:val="000000"/>
                <w:sz w:val="24"/>
              </w:rPr>
              <w:t>) при нулевом остатке и в салатовый (</w:t>
            </w:r>
            <w:r>
              <w:rPr>
                <w:rFonts w:ascii="Consolas" w:hAnsi="Consolas"/>
                <w:b/>
                <w:color w:val="000000"/>
                <w:sz w:val="22"/>
              </w:rPr>
              <w:t>#7fff00</w:t>
            </w:r>
            <w:r>
              <w:rPr>
                <w:rFonts w:ascii="Times New Roman" w:hAnsi="Times New Roman"/>
                <w:color w:val="000000"/>
                <w:sz w:val="24"/>
              </w:rPr>
              <w:t>) при скидке более 15%, обеспечивая мгновенную читаемость статуса товара.</w:t>
              <w:br/>
            </w:r>
          </w:p>
          <w:p>
            <w:pPr>
              <w:spacing w:before="80" w:after="8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06240" cy="379335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4_usabilit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37933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7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1. Добавить скелетон-анимацию (</w:t>
            </w:r>
            <w:r>
              <w:rPr>
                <w:rFonts w:ascii="Consolas" w:hAnsi="Consolas"/>
                <w:b/>
                <w:color w:val="000000"/>
                <w:sz w:val="22"/>
              </w:rPr>
              <w:t>skeleton loading</w:t>
            </w:r>
            <w:r>
              <w:rPr>
                <w:rFonts w:ascii="Times New Roman" w:hAnsi="Times New Roman"/>
                <w:color w:val="000000"/>
                <w:sz w:val="24"/>
              </w:rPr>
              <w:t>) на время ожидания ответа сервера.</w:t>
              <w:br/>
              <w:t>2. Добавить атрибуты доступности (</w:t>
            </w:r>
            <w:r>
              <w:rPr>
                <w:rFonts w:ascii="Consolas" w:hAnsi="Consolas"/>
                <w:b/>
                <w:color w:val="000000"/>
                <w:sz w:val="22"/>
              </w:rPr>
              <w:t>ARIA-labels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>
              <w:rPr>
                <w:rFonts w:ascii="Consolas" w:hAnsi="Consolas"/>
                <w:b/>
                <w:color w:val="000000"/>
                <w:sz w:val="22"/>
              </w:rPr>
              <w:t>role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) для экранных дикторов по стандарту </w:t>
            </w:r>
            <w:r>
              <w:rPr>
                <w:rFonts w:ascii="Consolas" w:hAnsi="Consolas"/>
                <w:b/>
                <w:color w:val="000000"/>
                <w:sz w:val="22"/>
              </w:rPr>
              <w:t>WCAG 2.1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5. Надёжность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Строгая валидация входящих данных на границе приложения, безопасное управление сессиями БД и высокое модульное тестовое покрытие.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</w:t>
            </w:r>
            <w:r>
              <w:rPr>
                <w:rFonts w:ascii="Consolas" w:hAnsi="Consolas"/>
                <w:b/>
                <w:color w:val="000000"/>
                <w:sz w:val="22"/>
              </w:rPr>
              <w:t>schemas.py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Pydantic-модели проверяют ограничения: </w:t>
            </w:r>
            <w:r>
              <w:rPr>
                <w:rFonts w:ascii="Consolas" w:hAnsi="Consolas"/>
                <w:b/>
                <w:color w:val="000000"/>
                <w:sz w:val="22"/>
              </w:rPr>
              <w:t>price (gt=0)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скидки </w:t>
            </w:r>
            <w:r>
              <w:rPr>
                <w:rFonts w:ascii="Consolas" w:hAnsi="Consolas"/>
                <w:b/>
                <w:color w:val="000000"/>
                <w:sz w:val="22"/>
              </w:rPr>
              <w:t>discount_percent (ge=0, le=100)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 строковые поля. Невалидные запросы отсекаются с кодом </w:t>
            </w:r>
            <w:r>
              <w:rPr>
                <w:rFonts w:ascii="Consolas" w:hAnsi="Consolas"/>
                <w:b/>
                <w:color w:val="000000"/>
                <w:sz w:val="22"/>
              </w:rPr>
              <w:t>422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до исполнения SQL. В </w:t>
            </w:r>
            <w:r>
              <w:rPr>
                <w:rFonts w:ascii="Consolas" w:hAnsi="Consolas"/>
                <w:b/>
                <w:color w:val="000000"/>
                <w:sz w:val="22"/>
              </w:rPr>
              <w:t>database.py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генератор </w:t>
            </w:r>
            <w:r>
              <w:rPr>
                <w:rFonts w:ascii="Consolas" w:hAnsi="Consolas"/>
                <w:b/>
                <w:color w:val="000000"/>
                <w:sz w:val="22"/>
              </w:rPr>
              <w:t>get_db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гарантирует закрытие сессии в блоке </w:t>
            </w:r>
            <w:r>
              <w:rPr>
                <w:rFonts w:ascii="Consolas" w:hAnsi="Consolas"/>
                <w:b/>
                <w:color w:val="000000"/>
                <w:sz w:val="22"/>
              </w:rPr>
              <w:t>finally: db.close()</w:t>
            </w:r>
            <w:r>
              <w:rPr>
                <w:rFonts w:ascii="Times New Roman" w:hAnsi="Times New Roman"/>
                <w:color w:val="000000"/>
                <w:sz w:val="24"/>
              </w:rPr>
              <w:t>. Фактическое покрытие тестами ключевых модулей (</w:t>
            </w:r>
            <w:r>
              <w:rPr>
                <w:rFonts w:ascii="Consolas" w:hAnsi="Consolas"/>
                <w:b/>
                <w:color w:val="000000"/>
                <w:sz w:val="22"/>
              </w:rPr>
              <w:t>pytest-cov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) превышает 91.9%: </w:t>
            </w:r>
            <w:r>
              <w:rPr>
                <w:rFonts w:ascii="Consolas" w:hAnsi="Consolas"/>
                <w:b/>
                <w:color w:val="000000"/>
                <w:sz w:val="22"/>
              </w:rPr>
              <w:t>models.py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— 100%, </w:t>
            </w:r>
            <w:r>
              <w:rPr>
                <w:rFonts w:ascii="Consolas" w:hAnsi="Consolas"/>
                <w:b/>
                <w:color w:val="000000"/>
                <w:sz w:val="22"/>
              </w:rPr>
              <w:t>schemas.py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— 100%, </w:t>
            </w:r>
            <w:r>
              <w:rPr>
                <w:rFonts w:ascii="Consolas" w:hAnsi="Consolas"/>
                <w:b/>
                <w:color w:val="000000"/>
                <w:sz w:val="22"/>
              </w:rPr>
              <w:t>security.py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— 94%, </w:t>
            </w:r>
            <w:r>
              <w:rPr>
                <w:rFonts w:ascii="Consolas" w:hAnsi="Consolas"/>
                <w:b/>
                <w:color w:val="000000"/>
                <w:sz w:val="22"/>
              </w:rPr>
              <w:t>database.py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— 89%, </w:t>
            </w:r>
            <w:r>
              <w:rPr>
                <w:rFonts w:ascii="Consolas" w:hAnsi="Consolas"/>
                <w:b/>
                <w:color w:val="000000"/>
                <w:sz w:val="22"/>
              </w:rPr>
              <w:t>domain.py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— 87%, </w:t>
            </w:r>
            <w:r>
              <w:rPr>
                <w:rFonts w:ascii="Consolas" w:hAnsi="Consolas"/>
                <w:b/>
                <w:color w:val="000000"/>
                <w:sz w:val="22"/>
              </w:rPr>
              <w:t>crud.py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— 87%.</w:t>
              <w:br/>
            </w:r>
          </w:p>
          <w:p>
            <w:pPr>
              <w:spacing w:before="80" w:after="8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06240" cy="282566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5_reliabilit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825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7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1. Реализовать глобальный перехватчик исключений формата </w:t>
            </w:r>
            <w:r>
              <w:rPr>
                <w:rFonts w:ascii="Consolas" w:hAnsi="Consolas"/>
                <w:b/>
                <w:color w:val="000000"/>
                <w:sz w:val="22"/>
              </w:rPr>
              <w:t>RFC 7807 (Problem Details)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  <w:br/>
              <w:t>2. Добавить тесты параллельных транзакций с имитацией гонок за последний экземпляр товара.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6. Защищённость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Стойкое хэширование паролей, защита маршрутов авторизационными маркерами и разграничение прав пользователей (RBAC).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</w:t>
            </w:r>
            <w:r>
              <w:rPr>
                <w:rFonts w:ascii="Consolas" w:hAnsi="Consolas"/>
                <w:b/>
                <w:color w:val="000000"/>
                <w:sz w:val="22"/>
              </w:rPr>
              <w:t>security.py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пароли пользователей хэшируются стойким алгоритмом </w:t>
            </w:r>
            <w:r>
              <w:rPr>
                <w:rFonts w:ascii="Consolas" w:hAnsi="Consolas"/>
                <w:b/>
                <w:color w:val="000000"/>
                <w:sz w:val="22"/>
              </w:rPr>
              <w:t>bcrypt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с солью (</w:t>
            </w:r>
            <w:r>
              <w:rPr>
                <w:rFonts w:ascii="Consolas" w:hAnsi="Consolas"/>
                <w:b/>
                <w:color w:val="000000"/>
                <w:sz w:val="22"/>
              </w:rPr>
              <w:t>passlib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). Авторизация реализована на базе токенов </w:t>
            </w:r>
            <w:r>
              <w:rPr>
                <w:rFonts w:ascii="Consolas" w:hAnsi="Consolas"/>
                <w:b/>
                <w:color w:val="000000"/>
                <w:sz w:val="22"/>
              </w:rPr>
              <w:t>JWT (HS256)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с ограниченным временем действия (</w:t>
            </w:r>
            <w:r>
              <w:rPr>
                <w:rFonts w:ascii="Consolas" w:hAnsi="Consolas"/>
                <w:b/>
                <w:color w:val="000000"/>
                <w:sz w:val="22"/>
              </w:rPr>
              <w:t>exp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). В </w:t>
            </w:r>
            <w:r>
              <w:rPr>
                <w:rFonts w:ascii="Consolas" w:hAnsi="Consolas"/>
                <w:b/>
                <w:color w:val="000000"/>
                <w:sz w:val="22"/>
              </w:rPr>
              <w:t>main.py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доступ к административным операциям каталога защищен зависимостями </w:t>
            </w:r>
            <w:r>
              <w:rPr>
                <w:rFonts w:ascii="Consolas" w:hAnsi="Consolas"/>
                <w:b/>
                <w:color w:val="000000"/>
                <w:sz w:val="22"/>
              </w:rPr>
              <w:t>require_roles(Role.ADMIN, Role.MANAGER)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  <w:br/>
            </w:r>
          </w:p>
          <w:p>
            <w:pPr>
              <w:spacing w:before="80" w:after="8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06240" cy="28256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6_securi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825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7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1. Вынести </w:t>
            </w:r>
            <w:r>
              <w:rPr>
                <w:rFonts w:ascii="Consolas" w:hAnsi="Consolas"/>
                <w:b/>
                <w:color w:val="000000"/>
                <w:sz w:val="22"/>
              </w:rPr>
              <w:t>SECRET_KEY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из исходников в переменные окружения (</w:t>
            </w:r>
            <w:r>
              <w:rPr>
                <w:rFonts w:ascii="Consolas" w:hAnsi="Consolas"/>
                <w:b/>
                <w:color w:val="000000"/>
                <w:sz w:val="22"/>
              </w:rPr>
              <w:t>.env</w:t>
            </w:r>
            <w:r>
              <w:rPr>
                <w:rFonts w:ascii="Times New Roman" w:hAnsi="Times New Roman"/>
                <w:color w:val="000000"/>
                <w:sz w:val="24"/>
              </w:rPr>
              <w:t>).</w:t>
              <w:br/>
              <w:t xml:space="preserve">2. Реализовать схему с коротким </w:t>
            </w:r>
            <w:r>
              <w:rPr>
                <w:rFonts w:ascii="Consolas" w:hAnsi="Consolas"/>
                <w:b/>
                <w:color w:val="000000"/>
                <w:sz w:val="22"/>
              </w:rPr>
              <w:t>Access Token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 защищенным </w:t>
            </w:r>
            <w:r>
              <w:rPr>
                <w:rFonts w:ascii="Consolas" w:hAnsi="Consolas"/>
                <w:b/>
                <w:color w:val="000000"/>
                <w:sz w:val="22"/>
              </w:rPr>
              <w:t>HttpOnly Refresh Token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7. Сопровождаемость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Модульная структура проекта, соблюдение принципа разделения ответственности (Separation of Concerns), стандартов PEP 8 и типизации.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Архитектура бэкенда разделена на независимые слои: </w:t>
            </w:r>
            <w:r>
              <w:rPr>
                <w:rFonts w:ascii="Consolas" w:hAnsi="Consolas"/>
                <w:b/>
                <w:color w:val="000000"/>
                <w:sz w:val="22"/>
              </w:rPr>
              <w:t>models.py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(ORM базы данных), </w:t>
            </w:r>
            <w:r>
              <w:rPr>
                <w:rFonts w:ascii="Consolas" w:hAnsi="Consolas"/>
                <w:b/>
                <w:color w:val="000000"/>
                <w:sz w:val="22"/>
              </w:rPr>
              <w:t>domain.py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(чистая бизнес-логика), </w:t>
            </w:r>
            <w:r>
              <w:rPr>
                <w:rFonts w:ascii="Consolas" w:hAnsi="Consolas"/>
                <w:b/>
                <w:color w:val="000000"/>
                <w:sz w:val="22"/>
              </w:rPr>
              <w:t>schemas.py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(DTO контракты), </w:t>
            </w:r>
            <w:r>
              <w:rPr>
                <w:rFonts w:ascii="Consolas" w:hAnsi="Consolas"/>
                <w:b/>
                <w:color w:val="000000"/>
                <w:sz w:val="22"/>
              </w:rPr>
              <w:t>crud.py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(запросы к БД), </w:t>
            </w:r>
            <w:r>
              <w:rPr>
                <w:rFonts w:ascii="Consolas" w:hAnsi="Consolas"/>
                <w:b/>
                <w:color w:val="000000"/>
                <w:sz w:val="22"/>
              </w:rPr>
              <w:t>security.py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(криптография), </w:t>
            </w:r>
            <w:r>
              <w:rPr>
                <w:rFonts w:ascii="Consolas" w:hAnsi="Consolas"/>
                <w:b/>
                <w:color w:val="000000"/>
                <w:sz w:val="22"/>
              </w:rPr>
              <w:t>database.py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(сессии) и </w:t>
            </w:r>
            <w:r>
              <w:rPr>
                <w:rFonts w:ascii="Consolas" w:hAnsi="Consolas"/>
                <w:b/>
                <w:color w:val="000000"/>
                <w:sz w:val="22"/>
              </w:rPr>
              <w:t>main.py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(эндпоинты). Все функции содержат аннотации типов (</w:t>
            </w:r>
            <w:r>
              <w:rPr>
                <w:rFonts w:ascii="Consolas" w:hAnsi="Consolas"/>
                <w:b/>
                <w:color w:val="000000"/>
                <w:sz w:val="22"/>
              </w:rPr>
              <w:t>type hinting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) и </w:t>
            </w:r>
            <w:r>
              <w:rPr>
                <w:rFonts w:ascii="Consolas" w:hAnsi="Consolas"/>
                <w:b/>
                <w:color w:val="000000"/>
                <w:sz w:val="22"/>
              </w:rPr>
              <w:t>docstrings</w:t>
            </w:r>
            <w:r>
              <w:rPr>
                <w:rFonts w:ascii="Times New Roman" w:hAnsi="Times New Roman"/>
                <w:color w:val="000000"/>
                <w:sz w:val="24"/>
              </w:rPr>
              <w:t>, что упрощает навигацию и рефакторинг.</w:t>
              <w:br/>
            </w:r>
          </w:p>
          <w:p>
            <w:pPr>
              <w:spacing w:before="80" w:after="8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06240" cy="22450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7_maintainabilit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2450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7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1. Подключить линтер </w:t>
            </w:r>
            <w:r>
              <w:rPr>
                <w:rFonts w:ascii="Consolas" w:hAnsi="Consolas"/>
                <w:b/>
                <w:color w:val="000000"/>
                <w:sz w:val="22"/>
              </w:rPr>
              <w:t>Ruff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 форматтер </w:t>
            </w:r>
            <w:r>
              <w:rPr>
                <w:rFonts w:ascii="Consolas" w:hAnsi="Consolas"/>
                <w:b/>
                <w:color w:val="000000"/>
                <w:sz w:val="22"/>
              </w:rPr>
              <w:t>Black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в pre-commit хуки репозитория.</w:t>
              <w:br/>
              <w:t>2. Устранить групповые импорты wildcard (</w:t>
            </w:r>
            <w:r>
              <w:rPr>
                <w:rFonts w:ascii="Consolas" w:hAnsi="Consolas"/>
                <w:b/>
                <w:color w:val="000000"/>
                <w:sz w:val="22"/>
              </w:rPr>
              <w:t>from app.models import *</w:t>
            </w:r>
            <w:r>
              <w:rPr>
                <w:rFonts w:ascii="Times New Roman" w:hAnsi="Times New Roman"/>
                <w:color w:val="000000"/>
                <w:sz w:val="24"/>
              </w:rPr>
              <w:t>) в тестах.</w:t>
            </w:r>
          </w:p>
        </w:tc>
      </w:tr>
      <w:tr>
        <w:trPr>
          <w:cantSplit/>
        </w:trPr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8. Переносимость (мобильность)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>Кроссплатформенность развертывания без изменения кода, фиксация версий библиотек и независимость от внешних СУБД.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Все зависимости зафиксированы в </w:t>
            </w:r>
            <w:r>
              <w:rPr>
                <w:rFonts w:ascii="Consolas" w:hAnsi="Consolas"/>
                <w:b/>
                <w:color w:val="000000"/>
                <w:sz w:val="22"/>
              </w:rPr>
              <w:t>requirements.txt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и </w:t>
            </w:r>
            <w:r>
              <w:rPr>
                <w:rFonts w:ascii="Consolas" w:hAnsi="Consolas"/>
                <w:b/>
                <w:color w:val="000000"/>
                <w:sz w:val="22"/>
              </w:rPr>
              <w:t>pyproject.toml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. Пути к файлам формируются через модуль </w:t>
            </w:r>
            <w:r>
              <w:rPr>
                <w:rFonts w:ascii="Consolas" w:hAnsi="Consolas"/>
                <w:b/>
                <w:color w:val="000000"/>
                <w:sz w:val="22"/>
              </w:rPr>
              <w:t>pathlib.Path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(</w:t>
            </w:r>
            <w:r>
              <w:rPr>
                <w:rFonts w:ascii="Consolas" w:hAnsi="Consolas"/>
                <w:b/>
                <w:color w:val="000000"/>
                <w:sz w:val="22"/>
              </w:rPr>
              <w:t>DB_PATH</w:t>
            </w:r>
            <w:r>
              <w:rPr>
                <w:rFonts w:ascii="Times New Roman" w:hAnsi="Times New Roman"/>
                <w:color w:val="000000"/>
                <w:sz w:val="24"/>
              </w:rPr>
              <w:t>), что устраняет проблемы с различием разделителей путей в Windows (</w:t>
            </w:r>
            <w:r>
              <w:rPr>
                <w:rFonts w:ascii="Consolas" w:hAnsi="Consolas"/>
                <w:b/>
                <w:color w:val="000000"/>
                <w:sz w:val="22"/>
              </w:rPr>
              <w:t>\</w:t>
            </w:r>
            <w:r>
              <w:rPr>
                <w:rFonts w:ascii="Times New Roman" w:hAnsi="Times New Roman"/>
                <w:color w:val="000000"/>
                <w:sz w:val="24"/>
              </w:rPr>
              <w:t>) и Linux (</w:t>
            </w:r>
            <w:r>
              <w:rPr>
                <w:rFonts w:ascii="Consolas" w:hAnsi="Consolas"/>
                <w:b/>
                <w:color w:val="000000"/>
                <w:sz w:val="22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). Встроенная база </w:t>
            </w:r>
            <w:r>
              <w:rPr>
                <w:rFonts w:ascii="Consolas" w:hAnsi="Consolas"/>
                <w:b/>
                <w:color w:val="000000"/>
                <w:sz w:val="22"/>
              </w:rPr>
              <w:t>SQLite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не требует отдельного СУБД-сервера, а десктопное приложение </w:t>
            </w:r>
            <w:r>
              <w:rPr>
                <w:rFonts w:ascii="Consolas" w:hAnsi="Consolas"/>
                <w:b/>
                <w:color w:val="000000"/>
                <w:sz w:val="22"/>
              </w:rPr>
              <w:t>Tauri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компилируется под Windows, macOS и Linux из единого репозитория.</w:t>
              <w:br/>
            </w:r>
          </w:p>
          <w:p>
            <w:pPr>
              <w:spacing w:before="80" w:after="8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06240" cy="243858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8_portabilit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385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7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1. Подготовить Multi-stage </w:t>
            </w:r>
            <w:r>
              <w:rPr>
                <w:rFonts w:ascii="Consolas" w:hAnsi="Consolas"/>
                <w:b/>
                <w:color w:val="000000"/>
                <w:sz w:val="22"/>
              </w:rPr>
              <w:t>Dockerfile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для запуска бэкенда в контейнерах.</w:t>
              <w:br/>
              <w:t xml:space="preserve">2. Настроить CI/CD </w:t>
            </w:r>
            <w:r>
              <w:rPr>
                <w:rFonts w:ascii="Consolas" w:hAnsi="Consolas"/>
                <w:b/>
                <w:color w:val="000000"/>
                <w:sz w:val="22"/>
              </w:rPr>
              <w:t>GitHub Actions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для автоматической кросс-компиляции клиентов.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3. Вывод</w:t>
      </w:r>
    </w:p>
    <w:p>
      <w:pPr>
        <w:spacing w:line="300" w:lineRule="auto"/>
        <w:ind w:firstLine="706"/>
        <w:jc w:val="left"/>
      </w:pPr>
      <w:r>
        <w:rPr>
          <w:rFonts w:ascii="Times New Roman" w:hAnsi="Times New Roman"/>
          <w:color w:val="000000"/>
          <w:sz w:val="24"/>
        </w:rPr>
        <w:t xml:space="preserve">В рамках выполнения задания 5.1 лабораторной работы №1 проведена комплексная инспекция исходного кода проекта </w:t>
      </w:r>
      <w:r>
        <w:rPr>
          <w:rFonts w:ascii="Consolas" w:hAnsi="Consolas"/>
          <w:b/>
          <w:color w:val="000000"/>
          <w:sz w:val="22"/>
        </w:rPr>
        <w:t>mdk1101_project</w:t>
      </w:r>
      <w:r>
        <w:rPr>
          <w:rFonts w:ascii="Times New Roman" w:hAnsi="Times New Roman"/>
          <w:color w:val="000000"/>
          <w:sz w:val="24"/>
        </w:rPr>
        <w:t>. Все компоненты системы проверены по 8 критериям качества ПО. Установлено строгое разделение архитектурных слоев (Separation of Concerns), финансовая точность доменных расчетов (</w:t>
      </w:r>
      <w:r>
        <w:rPr>
          <w:rFonts w:ascii="Consolas" w:hAnsi="Consolas"/>
          <w:b/>
          <w:color w:val="000000"/>
          <w:sz w:val="22"/>
        </w:rPr>
        <w:t>Decimal</w:t>
      </w:r>
      <w:r>
        <w:rPr>
          <w:rFonts w:ascii="Times New Roman" w:hAnsi="Times New Roman"/>
          <w:color w:val="000000"/>
          <w:sz w:val="24"/>
        </w:rPr>
        <w:t>), декларативная валидация входящих структур (</w:t>
      </w:r>
      <w:r>
        <w:rPr>
          <w:rFonts w:ascii="Consolas" w:hAnsi="Consolas"/>
          <w:b/>
          <w:color w:val="000000"/>
          <w:sz w:val="22"/>
        </w:rPr>
        <w:t>Pydantic</w:t>
      </w:r>
      <w:r>
        <w:rPr>
          <w:rFonts w:ascii="Times New Roman" w:hAnsi="Times New Roman"/>
          <w:color w:val="000000"/>
          <w:sz w:val="24"/>
        </w:rPr>
        <w:t>), криптостойкое хранение учетных данных (</w:t>
      </w:r>
      <w:r>
        <w:rPr>
          <w:rFonts w:ascii="Consolas" w:hAnsi="Consolas"/>
          <w:b/>
          <w:color w:val="000000"/>
          <w:sz w:val="22"/>
        </w:rPr>
        <w:t>bcrypt</w:t>
      </w:r>
      <w:r>
        <w:rPr>
          <w:rFonts w:ascii="Times New Roman" w:hAnsi="Times New Roman"/>
          <w:color w:val="000000"/>
          <w:sz w:val="24"/>
        </w:rPr>
        <w:t>/</w:t>
      </w:r>
      <w:r>
        <w:rPr>
          <w:rFonts w:ascii="Consolas" w:hAnsi="Consolas"/>
          <w:b/>
          <w:color w:val="000000"/>
          <w:sz w:val="22"/>
        </w:rPr>
        <w:t>JWT</w:t>
      </w:r>
      <w:r>
        <w:rPr>
          <w:rFonts w:ascii="Times New Roman" w:hAnsi="Times New Roman"/>
          <w:color w:val="000000"/>
          <w:sz w:val="24"/>
        </w:rPr>
        <w:t>) и высокое покрытие тестами ключевых модулей бэкенда (&gt; 91.9%). Выработаны предметные рекомендации для дальнейшего масштабирования и оптимизации сервиса.</w:t>
      </w:r>
    </w:p>
    <w:sectPr w:rsidR="00FC693F" w:rsidRPr="0006063C" w:rsidSect="00034616">
      <w:footerReference w:type="default" r:id="rId9"/>
      <w:pgSz w:w="16834" w:h="11909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