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r>
        <w:t xml:space="preserve"/>
      </w:r>
    </w:p>
    <w:p>
      <w:pPr>
        <w:spacing w:before="200" w:after="60"/>
        <w:jc w:val="center"/>
      </w:pPr>
      <w:r>
        <w:rPr>
          <w:rFonts w:ascii="Georgia" w:cs="Georgia" w:eastAsia="Georgia" w:hAnsi="Georgia"/>
          <w:b/>
          <w:bCs/>
          <w:color w:val="1B3A5C"/>
          <w:sz w:val="56"/>
          <w:szCs w:val="56"/>
        </w:rPr>
        <w:t xml:space="preserve">ANTIGRAVITY</w:t>
      </w:r>
    </w:p>
    <w:p>
      <w:pPr>
        <w:spacing w:before="0" w:after="200"/>
        <w:jc w:val="center"/>
      </w:pPr>
      <w:r>
        <w:rPr>
          <w:rFonts w:ascii="Georgia" w:cs="Georgia" w:eastAsia="Georgia" w:hAnsi="Georgia"/>
          <w:i/>
          <w:iCs/>
          <w:color w:val="2E6DA4"/>
          <w:sz w:val="34"/>
          <w:szCs w:val="34"/>
        </w:rPr>
        <w:t xml:space="preserve">Digital Mental Health Screening System</w:t>
      </w:r>
    </w:p>
    <w:p>
      <w:pPr>
        <w:pBdr>
          <w:bottom w:val="single" w:color="2E6DA4" w:sz="6"/>
        </w:pBdr>
        <w:spacing w:before="0" w:after="300"/>
        <w:jc w:val="center"/>
      </w:pPr>
      <w:r>
        <w:rPr>
          <w:rFonts w:ascii="Arial" w:cs="Arial" w:eastAsia="Arial" w:hAnsi="Arial"/>
          <w:color w:val="444444"/>
          <w:sz w:val="24"/>
          <w:szCs w:val="24"/>
        </w:rPr>
        <w:t xml:space="preserve">Implementation Plan for Antigravity</w:t>
      </w:r>
    </w:p>
    <w:p>
      <w:pPr>
        <w:spacing w:before="30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Document Version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1.0 — Initial Release</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Prepared For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Antigravity Team</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Classification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Confidential — Internal</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Scope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Educational &amp; Research Platform</w:t>
            </w:r>
          </w:p>
        </w:tc>
      </w:tr>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Legal Status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Screening Only — Not Diagnostic</w:t>
            </w:r>
          </w:p>
        </w:tc>
      </w:tr>
    </w:tbl>
    <w:p>
      <w:r>
        <w:br w:type="page"/>
      </w:r>
    </w:p>
    <w:p>
      <w:pPr>
        <w:pStyle w:val="Heading1"/>
        <w:spacing w:before="360" w:after="180"/>
      </w:pPr>
      <w:r>
        <w:rPr>
          <w:rFonts w:ascii="Georgia" w:cs="Georgia" w:eastAsia="Georgia" w:hAnsi="Georgia"/>
          <w:b/>
          <w:bCs/>
          <w:color w:val="1B3A5C"/>
          <w:sz w:val="32"/>
          <w:szCs w:val="32"/>
        </w:rPr>
        <w:t xml:space="preserve">1. Executive Summary</w:t>
      </w:r>
    </w:p>
    <w:p>
      <w:pPr>
        <w:spacing w:before="60" w:after="100"/>
      </w:pPr>
      <w:r>
        <w:rPr>
          <w:rFonts w:ascii="Arial" w:cs="Arial" w:eastAsia="Arial" w:hAnsi="Arial"/>
          <w:sz w:val="20"/>
          <w:szCs w:val="20"/>
        </w:rPr>
        <w:t xml:space="preserve">This document provides a complete implementation blueprint for Antigravity’s Digital Mental Health Screening System. The system comprises three independent screening modules covering severe psychiatric risk indicators, mood and behavioral instability, and early cognitive decline — all designed for educational and research use only.</w:t>
      </w:r>
    </w:p>
    <w:p>
      <w:pPr>
        <w:spacing w:before="60" w:after="100"/>
      </w:pPr>
      <w:r>
        <w:rPr>
          <w:rFonts w:ascii="Arial" w:cs="Arial" w:eastAsia="Arial" w:hAnsi="Arial"/>
          <w:sz w:val="20"/>
          <w:szCs w:val="20"/>
        </w:rPr>
        <w:t xml:space="preserve">All screening questions in this plan are original compositions. They are inspired by the conceptual domains of validated clinical instruments but do not reproduce any proprietary or licensed content verbatim. The system is not a diagnostic tool and must not be presented as one to end users.</w:t>
      </w:r>
    </w:p>
    <w:p>
      <w:pPr>
        <w:pBdr>
          <w:bottom w:val="single" w:color="2E6DA4" w:sz="4" w:space="1"/>
        </w:pBdr>
        <w:spacing w:before="200" w:after="200"/>
      </w:pPr>
      <w:r>
        <w:t xml:space="preserve"/>
      </w:r>
    </w:p>
    <w:p>
      <w:pPr>
        <w:pStyle w:val="Heading1"/>
        <w:spacing w:before="360" w:after="180"/>
      </w:pPr>
      <w:r>
        <w:rPr>
          <w:rFonts w:ascii="Georgia" w:cs="Georgia" w:eastAsia="Georgia" w:hAnsi="Georgia"/>
          <w:b/>
          <w:bCs/>
          <w:color w:val="1B3A5C"/>
          <w:sz w:val="32"/>
          <w:szCs w:val="32"/>
        </w:rPr>
        <w:t xml:space="preserve">2. Licensing &amp; Compliance Reference</w:t>
      </w:r>
    </w:p>
    <w:p>
      <w:pPr>
        <w:spacing w:before="60" w:after="100"/>
      </w:pPr>
      <w:r>
        <w:rPr>
          <w:rFonts w:ascii="Arial" w:cs="Arial" w:eastAsia="Arial" w:hAnsi="Arial"/>
          <w:sz w:val="20"/>
          <w:szCs w:val="20"/>
        </w:rPr>
        <w:t xml:space="preserve">Understanding the licensing status of reference instruments is critical before development begins. The table below classifies each reference tool and defines the permissible use within this project.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Instrument</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License Status</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Permitted Use</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sz w:val="18"/>
                <w:szCs w:val="18"/>
              </w:rPr>
              <w:t xml:space="preserve">MoCA</w:t>
            </w:r>
          </w:p>
        </w:tc>
        <w:tc>
          <w:tcPr>
            <w:tcW w:type="dxa" w:w="16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sz w:val="18"/>
                <w:szCs w:val="18"/>
              </w:rPr>
              <w:t xml:space="preserve">LICENSED — DO NOT COPY</w:t>
            </w:r>
          </w:p>
        </w:tc>
        <w:tc>
          <w:tcPr>
            <w:tcW w:type="dxa" w:w="1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sz w:val="18"/>
                <w:szCs w:val="18"/>
              </w:rPr>
              <w:t xml:space="preserve">Domain inspiration only</w:t>
            </w:r>
          </w:p>
        </w:tc>
        <w:tc>
          <w:tcPr>
            <w:tcW w:type="dxa" w:w="37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sz w:val="18"/>
                <w:szCs w:val="18"/>
              </w:rPr>
              <w:t xml:space="preserve">Requires training &amp; licence from mocacognition.com. No verbatim use.</w:t>
            </w:r>
          </w:p>
        </w:tc>
      </w:tr>
      <w:tr>
        <w:tc>
          <w:tcPr>
            <w:tcW w:type="dxa" w:w="2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sz w:val="18"/>
                <w:szCs w:val="18"/>
              </w:rPr>
              <w:t xml:space="preserve">MMSE</w:t>
            </w:r>
          </w:p>
        </w:tc>
        <w:tc>
          <w:tcPr>
            <w:tcW w:type="dxa" w:w="16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sz w:val="18"/>
                <w:szCs w:val="18"/>
              </w:rPr>
              <w:t xml:space="preserve">LICENSED — DO NOT COPY</w:t>
            </w:r>
          </w:p>
        </w:tc>
        <w:tc>
          <w:tcPr>
            <w:tcW w:type="dxa" w:w="1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sz w:val="18"/>
                <w:szCs w:val="18"/>
              </w:rPr>
              <w:t xml:space="preserve">Domain inspiration only</w:t>
            </w:r>
          </w:p>
        </w:tc>
        <w:tc>
          <w:tcPr>
            <w:tcW w:type="dxa" w:w="37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sz w:val="18"/>
                <w:szCs w:val="18"/>
              </w:rPr>
              <w:t xml:space="preserve">Copyright held by PAR Inc. Cannot reproduce any items.</w:t>
            </w:r>
          </w:p>
        </w:tc>
      </w:tr>
      <w:tr>
        <w:tc>
          <w:tcPr>
            <w:tcW w:type="dxa" w:w="2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bCs/>
                <w:sz w:val="18"/>
                <w:szCs w:val="18"/>
              </w:rPr>
              <w:t xml:space="preserve">C-SSRS Full Version</w:t>
            </w:r>
          </w:p>
        </w:tc>
        <w:tc>
          <w:tcPr>
            <w:tcW w:type="dxa" w:w="16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sz w:val="18"/>
                <w:szCs w:val="18"/>
              </w:rPr>
              <w:t xml:space="preserve">LICENSED — DO NOT COPY</w:t>
            </w:r>
          </w:p>
        </w:tc>
        <w:tc>
          <w:tcPr>
            <w:tcW w:type="dxa" w:w="1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sz w:val="18"/>
                <w:szCs w:val="18"/>
              </w:rPr>
              <w:t xml:space="preserve">Flow structure inspiration</w:t>
            </w:r>
          </w:p>
        </w:tc>
        <w:tc>
          <w:tcPr>
            <w:tcW w:type="dxa" w:w="37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sz w:val="18"/>
                <w:szCs w:val="18"/>
              </w:rPr>
              <w:t xml:space="preserve">Columbia University licence required. Do not use exact items.</w:t>
            </w:r>
          </w:p>
        </w:tc>
      </w:tr>
      <w:tr>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18"/>
                <w:szCs w:val="18"/>
              </w:rPr>
              <w:t xml:space="preserve">ASQ (NIMH)</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Open Access</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Domain &amp; style only</w:t>
            </w:r>
          </w:p>
        </w:tc>
        <w:tc>
          <w:tcPr>
            <w:tcW w:type="dxa" w:w="3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Public domain but rephrase all questions. Do not replicate verbatim.</w:t>
            </w:r>
          </w:p>
        </w:tc>
      </w:tr>
      <w:tr>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18"/>
                <w:szCs w:val="18"/>
              </w:rPr>
              <w:t xml:space="preserve">PQ-B</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Open Access</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Domain inspiration only</w:t>
            </w:r>
          </w:p>
        </w:tc>
        <w:tc>
          <w:tcPr>
            <w:tcW w:type="dxa" w:w="3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Freely downloadable but original phrasing required for all items.</w:t>
            </w:r>
          </w:p>
        </w:tc>
      </w:tr>
      <w:tr>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18"/>
                <w:szCs w:val="18"/>
              </w:rPr>
              <w:t xml:space="preserve">MDQ</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Open Access</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Domain inspiration only</w:t>
            </w:r>
          </w:p>
        </w:tc>
        <w:tc>
          <w:tcPr>
            <w:tcW w:type="dxa" w:w="3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Publicly available. Must rephrase to avoid IP exposure.</w:t>
            </w:r>
          </w:p>
        </w:tc>
      </w:tr>
      <w:tr>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sz w:val="18"/>
                <w:szCs w:val="18"/>
              </w:rPr>
              <w:t xml:space="preserve">ASRM</w:t>
            </w:r>
          </w:p>
        </w:tc>
        <w:tc>
          <w:tcPr>
            <w:tcW w:type="dxa" w:w="1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Open Access</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Domain inspiration only</w:t>
            </w:r>
          </w:p>
        </w:tc>
        <w:tc>
          <w:tcPr>
            <w:tcW w:type="dxa" w:w="3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Freely available. Rephrase all items in original language.</w:t>
            </w:r>
          </w:p>
        </w:tc>
      </w:tr>
      <w:tr>
        <w:tc>
          <w:tcPr>
            <w:tcW w:type="dxa" w:w="22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sz w:val="18"/>
                <w:szCs w:val="18"/>
              </w:rPr>
              <w:t xml:space="preserve">Mini-Cog</w:t>
            </w:r>
          </w:p>
        </w:tc>
        <w:tc>
          <w:tcPr>
            <w:tcW w:type="dxa" w:w="16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val="false"/>
                <w:bCs w:val="false"/>
                <w:sz w:val="18"/>
                <w:szCs w:val="18"/>
              </w:rPr>
              <w:t xml:space="preserve">Free to view</w:t>
            </w:r>
          </w:p>
        </w:tc>
        <w:tc>
          <w:tcPr>
            <w:tcW w:type="dxa" w:w="18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val="false"/>
                <w:bCs w:val="false"/>
                <w:sz w:val="18"/>
                <w:szCs w:val="18"/>
              </w:rPr>
              <w:t xml:space="preserve">Concept inspiration</w:t>
            </w:r>
          </w:p>
        </w:tc>
        <w:tc>
          <w:tcPr>
            <w:tcW w:type="dxa" w:w="37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val="false"/>
                <w:bCs w:val="false"/>
                <w:sz w:val="18"/>
                <w:szCs w:val="18"/>
              </w:rPr>
              <w:t xml:space="preserve">Short form; use recall + orientation concepts with new wording.</w:t>
            </w:r>
          </w:p>
        </w:tc>
      </w:tr>
      <w:tr>
        <w:tc>
          <w:tcPr>
            <w:tcW w:type="dxa" w:w="22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sz w:val="18"/>
                <w:szCs w:val="18"/>
              </w:rPr>
              <w:t xml:space="preserve">AD8</w:t>
            </w:r>
          </w:p>
        </w:tc>
        <w:tc>
          <w:tcPr>
            <w:tcW w:type="dxa" w:w="16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val="false"/>
                <w:bCs w:val="false"/>
                <w:sz w:val="18"/>
                <w:szCs w:val="18"/>
              </w:rPr>
              <w:t xml:space="preserve">Free (Alz. Assoc.)</w:t>
            </w:r>
          </w:p>
        </w:tc>
        <w:tc>
          <w:tcPr>
            <w:tcW w:type="dxa" w:w="18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val="false"/>
                <w:bCs w:val="false"/>
                <w:sz w:val="18"/>
                <w:szCs w:val="18"/>
              </w:rPr>
              <w:t xml:space="preserve">Domain inspiration only</w:t>
            </w:r>
          </w:p>
        </w:tc>
        <w:tc>
          <w:tcPr>
            <w:tcW w:type="dxa" w:w="37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val="false"/>
                <w:bCs w:val="false"/>
                <w:sz w:val="18"/>
                <w:szCs w:val="18"/>
              </w:rPr>
              <w:t xml:space="preserve">Everyday thinking change domains are strong conceptual source. Rephrase.</w:t>
            </w:r>
          </w:p>
        </w:tc>
      </w:tr>
      <w:tr>
        <w:tc>
          <w:tcPr>
            <w:tcW w:type="dxa" w:w="22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bCs/>
                <w:sz w:val="18"/>
                <w:szCs w:val="18"/>
              </w:rPr>
              <w:t xml:space="preserve">GPCOG</w:t>
            </w:r>
          </w:p>
        </w:tc>
        <w:tc>
          <w:tcPr>
            <w:tcW w:type="dxa" w:w="16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val="false"/>
                <w:bCs w:val="false"/>
                <w:sz w:val="18"/>
                <w:szCs w:val="18"/>
              </w:rPr>
              <w:t xml:space="preserve">Free to use</w:t>
            </w:r>
          </w:p>
        </w:tc>
        <w:tc>
          <w:tcPr>
            <w:tcW w:type="dxa" w:w="18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val="false"/>
                <w:bCs w:val="false"/>
                <w:sz w:val="18"/>
                <w:szCs w:val="18"/>
              </w:rPr>
              <w:t xml:space="preserve">Dual-stage structure</w:t>
            </w:r>
          </w:p>
        </w:tc>
        <w:tc>
          <w:tcPr>
            <w:tcW w:type="dxa" w:w="37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val="false"/>
                <w:bCs w:val="false"/>
                <w:sz w:val="18"/>
                <w:szCs w:val="18"/>
              </w:rPr>
              <w:t xml:space="preserve">Patient + informant stage concept is useful. Use structure, not wording.</w:t>
            </w:r>
          </w:p>
        </w:tc>
      </w:tr>
    </w:tbl>
    <w:p>
      <w:r>
        <w:t xml:space="preserve"/>
      </w:r>
    </w:p>
    <w:p>
      <w:pPr>
        <w:spacing w:before="60" w:after="100"/>
      </w:pPr>
      <w:r>
        <w:rPr>
          <w:rFonts w:ascii="Arial" w:cs="Arial" w:eastAsia="Arial" w:hAnsi="Arial"/>
          <w:i/>
          <w:iCs/>
          <w:color w:val="555555"/>
          <w:sz w:val="20"/>
          <w:szCs w:val="20"/>
        </w:rPr>
        <w:t xml:space="preserve">Key principle: Even for open-access or public domain instruments, the project must use original phrasing throughout. Licensing status only determines whether domain inspiration is permissible — it never authorises verbatim reproduction.</w:t>
      </w:r>
    </w:p>
    <w:p>
      <w:pPr>
        <w:pBdr>
          <w:bottom w:val="single" w:color="2E6DA4" w:sz="4" w:space="1"/>
        </w:pBdr>
        <w:spacing w:before="200" w:after="200"/>
      </w:pPr>
      <w:r>
        <w:t xml:space="preserve"/>
      </w:r>
    </w:p>
    <w:p>
      <w:pPr>
        <w:pStyle w:val="Heading1"/>
        <w:spacing w:before="360" w:after="180"/>
      </w:pPr>
      <w:r>
        <w:rPr>
          <w:rFonts w:ascii="Georgia" w:cs="Georgia" w:eastAsia="Georgia" w:hAnsi="Georgia"/>
          <w:b/>
          <w:bCs/>
          <w:color w:val="1B3A5C"/>
          <w:sz w:val="32"/>
          <w:szCs w:val="32"/>
        </w:rPr>
        <w:t xml:space="preserve">3. Ethical Disclaimer &amp; Mandatory Display Text</w:t>
      </w:r>
    </w:p>
    <w:p>
      <w:pPr>
        <w:spacing w:before="60" w:after="100"/>
      </w:pPr>
      <w:r>
        <w:rPr>
          <w:rFonts w:ascii="Arial" w:cs="Arial" w:eastAsia="Arial" w:hAnsi="Arial"/>
          <w:sz w:val="20"/>
          <w:szCs w:val="20"/>
        </w:rPr>
        <w:t xml:space="preserve">The following disclaimer text must appear prominently at all entry points to the screening system: on the landing page, at the start of each module, and in the results screen. It must not be skipped or hidden.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4FF" w:val="clear"/>
            <w:tcMar>
              <w:top w:type="dxa" w:w="160"/>
              <w:left w:type="dxa" w:w="200"/>
              <w:bottom w:type="dxa" w:w="160"/>
              <w:right w:type="dxa" w:w="200"/>
            </w:tcMar>
          </w:tcPr>
          <w:p>
            <w:pPr>
              <w:spacing w:after="80"/>
            </w:pPr>
            <w:r>
              <w:rPr>
                <w:rFonts w:ascii="Arial" w:cs="Arial" w:eastAsia="Arial" w:hAnsi="Arial"/>
                <w:b/>
                <w:bCs/>
                <w:color w:val="1B3A5C"/>
                <w:sz w:val="18"/>
                <w:szCs w:val="18"/>
              </w:rPr>
              <w:t xml:space="preserve">REQUIRED DISCLAIMER TEXT (use verbatim in product)</w:t>
            </w:r>
          </w:p>
          <w:p>
            <w:pPr>
              <w:spacing w:after="80"/>
            </w:pPr>
            <w:r>
              <w:rPr>
                <w:rFonts w:ascii="Arial" w:cs="Arial" w:eastAsia="Arial" w:hAnsi="Arial"/>
                <w:sz w:val="19"/>
                <w:szCs w:val="19"/>
              </w:rPr>
              <w:t xml:space="preserve">This tool is for educational and research screening purposes only. It is not a diagnostic instrument and does not replace a professional clinical evaluation by a licensed healthcare provider. Responses do not constitute a diagnosis of any mental health, psychiatric, or neurological condition.</w:t>
            </w:r>
          </w:p>
          <w:p>
            <w:pPr>
              <w:spacing w:after="80"/>
            </w:pPr>
            <w:r>
              <w:rPr>
                <w:rFonts w:ascii="Arial" w:cs="Arial" w:eastAsia="Arial" w:hAnsi="Arial"/>
                <w:b/>
                <w:bCs/>
                <w:color w:val="CC0000"/>
                <w:sz w:val="19"/>
                <w:szCs w:val="19"/>
              </w:rPr>
              <w:t xml:space="preserve">If you are experiencing a mental health crisis, please contact emergency services (911) or the 988 Suicide &amp; Crisis Lifeline by calling or texting 988.</w:t>
            </w:r>
          </w:p>
          <w:p>
            <w:pPr>
              <w:spacing w:after="0"/>
            </w:pPr>
            <w:r>
              <w:rPr>
                <w:rFonts w:ascii="Arial" w:cs="Arial" w:eastAsia="Arial" w:hAnsi="Arial"/>
                <w:sz w:val="19"/>
                <w:szCs w:val="19"/>
              </w:rPr>
              <w:t xml:space="preserve">Results are stored solely for research tracking. No personally identifying clinical conclusions should be drawn from this screening.</w:t>
            </w:r>
          </w:p>
        </w:tc>
      </w:tr>
    </w:tbl>
    <w:p>
      <w:pPr>
        <w:pBdr>
          <w:bottom w:val="single" w:color="2E6DA4" w:sz="4" w:space="1"/>
        </w:pBdr>
        <w:spacing w:before="200" w:after="200"/>
      </w:pPr>
      <w:r>
        <w:t xml:space="preserve"/>
      </w:r>
    </w:p>
    <w:p>
      <w:pPr>
        <w:pStyle w:val="Heading1"/>
        <w:spacing w:before="360" w:after="180"/>
      </w:pPr>
      <w:r>
        <w:rPr>
          <w:rFonts w:ascii="Georgia" w:cs="Georgia" w:eastAsia="Georgia" w:hAnsi="Georgia"/>
          <w:b/>
          <w:bCs/>
          <w:color w:val="1B3A5C"/>
          <w:sz w:val="32"/>
          <w:szCs w:val="32"/>
        </w:rPr>
        <w:t xml:space="preserve">4. Module A — Severe Psychiatric Risk</w:t>
      </w:r>
    </w:p>
    <w:p>
      <w:pPr>
        <w:spacing w:before="60" w:after="100"/>
      </w:pPr>
      <w:r>
        <w:rPr>
          <w:rFonts w:ascii="Arial" w:cs="Arial" w:eastAsia="Arial" w:hAnsi="Arial"/>
          <w:sz w:val="20"/>
          <w:szCs w:val="20"/>
        </w:rPr>
        <w:t xml:space="preserve">Domain coverage: Suicidal ideation (inspired by ASQ/C-SSRS domains), perceptual disturbances and unusual experiences (inspired by PQ-B domains), and elevated mood/activation states (inspired by ASRM domains). All questions are original compositions.</w:t>
      </w:r>
    </w:p>
    <w:p>
      <w:pPr>
        <w:spacing w:before="60" w:after="100"/>
      </w:pPr>
      <w:r>
        <w:rPr>
          <w:rFonts w:ascii="Arial" w:cs="Arial" w:eastAsia="Arial" w:hAnsi="Arial"/>
          <w:sz w:val="20"/>
          <w:szCs w:val="20"/>
        </w:rPr>
        <w:t xml:space="preserve">Format: Yes/No items. Response weight: No = 0, Yes = 1. Total score range: 0–11.</w:t>
      </w:r>
    </w:p>
    <w:p>
      <w:r>
        <w:t xml:space="preserve"/>
      </w:r>
    </w:p>
    <w:p>
      <w:pPr>
        <w:pStyle w:val="Heading2"/>
        <w:spacing w:before="280" w:after="120"/>
      </w:pPr>
      <w:r>
        <w:rPr>
          <w:rFonts w:ascii="Georgia" w:cs="Georgia" w:eastAsia="Georgia" w:hAnsi="Georgia"/>
          <w:b/>
          <w:bCs/>
          <w:color w:val="2E6DA4"/>
          <w:sz w:val="26"/>
          <w:szCs w:val="26"/>
        </w:rPr>
        <w:t xml:space="preserve">4.1 Screening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360"/>
        <w:gridCol w:w="1400"/>
        <w:gridCol w:w="100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Question</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Domain Inspired By</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Format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 the past few weeks, have you had thoughts that you would be better off not being alive?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ASQ/C-SSRS: passive ideation domain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 / No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Have you had any thoughts of ending your life, even briefly?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ASQ: active ideation domain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 / No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Have you taken any steps toward acting on those thoughts, such as researching methods or making a plan?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C-SSRS: intent &amp; planning domain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 / No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Have you recently heard sounds, voices, or noises that other people around you did not seem to hear?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PQ-B: auditory perceptual domain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 / No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Have you seen things or noticed visual experiences that seemed unusual or that others did not notice?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PQ-B: visual perceptual domain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 / No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Have you had a strong sense that something important is happening around you that others are unaware of?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PQ-B: ideas of reference domain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 / No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Have you felt as though your thoughts were being broadcast so that others could hear them?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PQ-B: thought broadcast domain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 / No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Have you recently felt so energised that you needed far less sleep than usual and did not feel tired?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ASRM: energy/sleep domain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 / No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A9</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Have you noticed that your thoughts were moving so fast it was hard to keep up with them?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ASRM: racing thoughts domain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 / No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A10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Have people close to you commented that you seemed unusually excited, irritable, or out of character?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ASRM/MDQ: behavioural change domain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 / No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A11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Have you engaged in activities that felt very important or urgent in a way that was out of character for you?</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ASRM: goal-directed activity domain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 / No</w:t>
            </w:r>
          </w:p>
        </w:tc>
      </w:tr>
    </w:tbl>
    <w:p>
      <w:r>
        <w:t xml:space="preserve"/>
      </w:r>
    </w:p>
    <w:p>
      <w:pPr>
        <w:pStyle w:val="Heading2"/>
        <w:spacing w:before="280" w:after="120"/>
      </w:pPr>
      <w:r>
        <w:rPr>
          <w:rFonts w:ascii="Georgia" w:cs="Georgia" w:eastAsia="Georgia" w:hAnsi="Georgia"/>
          <w:b/>
          <w:bCs/>
          <w:color w:val="2E6DA4"/>
          <w:sz w:val="26"/>
          <w:szCs w:val="26"/>
        </w:rPr>
        <w:t xml:space="preserve">4.2 Scoring &amp; Risk Banding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Score Range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Risk Band</w:t>
            </w:r>
          </w:p>
        </w:tc>
        <w:tc>
          <w:tcPr>
            <w:tcW w:type="dxa" w:w="5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Recommended UX Message</w:t>
            </w:r>
          </w:p>
        </w:tc>
      </w:tr>
      <w:tr>
        <w:tc>
          <w:tcPr>
            <w:tcW w:type="dxa" w:w="18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val="false"/>
                <w:bCs w:val="false"/>
                <w:sz w:val="18"/>
                <w:szCs w:val="18"/>
              </w:rPr>
              <w:t xml:space="preserve">0</w:t>
            </w:r>
          </w:p>
        </w:tc>
        <w:tc>
          <w:tcPr>
            <w:tcW w:type="dxa" w:w="20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val="false"/>
                <w:bCs w:val="false"/>
                <w:sz w:val="18"/>
                <w:szCs w:val="18"/>
              </w:rPr>
              <w:t xml:space="preserve">Low — No Flag</w:t>
            </w:r>
          </w:p>
        </w:tc>
        <w:tc>
          <w:tcPr>
            <w:tcW w:type="dxa" w:w="55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val="false"/>
                <w:bCs w:val="false"/>
                <w:sz w:val="18"/>
                <w:szCs w:val="18"/>
              </w:rPr>
              <w:t xml:space="preserve">Your responses did not indicate heightened concern in this area. Continue monitoring if symptoms change.</w:t>
            </w:r>
          </w:p>
        </w:tc>
      </w:tr>
      <w:tr>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1–2</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Monitor</w:t>
            </w:r>
          </w:p>
        </w:tc>
        <w:tc>
          <w:tcPr>
            <w:tcW w:type="dxa" w:w="5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Some responses suggest it may be helpful to discuss how you’ve been feeling with a trusted professional.</w:t>
            </w:r>
          </w:p>
        </w:tc>
      </w:tr>
      <w:tr>
        <w:tc>
          <w:tcPr>
            <w:tcW w:type="dxa" w:w="1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sz w:val="18"/>
                <w:szCs w:val="18"/>
              </w:rPr>
              <w:t xml:space="preserve">3+</w:t>
            </w:r>
          </w:p>
        </w:tc>
        <w:tc>
          <w:tcPr>
            <w:tcW w:type="dxa" w:w="2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sz w:val="18"/>
                <w:szCs w:val="18"/>
              </w:rPr>
              <w:t xml:space="preserve">Elevated — Refer</w:t>
            </w:r>
          </w:p>
        </w:tc>
        <w:tc>
          <w:tcPr>
            <w:tcW w:type="dxa" w:w="55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sz w:val="18"/>
                <w:szCs w:val="18"/>
              </w:rPr>
              <w:t xml:space="preserve">Your responses indicate areas that a healthcare professional should evaluate. Please reach out to a licensed provider or crisis support.</w:t>
            </w:r>
          </w:p>
        </w:tc>
      </w:tr>
    </w:tbl>
    <w:p>
      <w:r>
        <w:t xml:space="preserve"/>
      </w:r>
    </w:p>
    <w:p>
      <w:pPr>
        <w:spacing w:before="60" w:after="100"/>
      </w:pPr>
      <w:r>
        <w:rPr>
          <w:rFonts w:ascii="Arial" w:cs="Arial" w:eastAsia="Arial" w:hAnsi="Arial"/>
          <w:b/>
          <w:bCs/>
          <w:color w:val="CC0000"/>
          <w:sz w:val="20"/>
          <w:szCs w:val="20"/>
        </w:rPr>
        <w:t xml:space="preserve">CRITICAL OVERRIDE RULE: If A1, A2, or A3 are answered Yes, the system must immediately escalate to Tier 4 regardless of total score. Display crisis resources without delay.</w:t>
      </w:r>
    </w:p>
    <w:p>
      <w:pPr>
        <w:pBdr>
          <w:bottom w:val="single" w:color="2E6DA4" w:sz="4" w:space="1"/>
        </w:pBdr>
        <w:spacing w:before="200" w:after="200"/>
      </w:pPr>
      <w:r>
        <w:t xml:space="preserve"/>
      </w:r>
    </w:p>
    <w:p>
      <w:pPr>
        <w:pStyle w:val="Heading1"/>
        <w:spacing w:before="360" w:after="180"/>
      </w:pPr>
      <w:r>
        <w:rPr>
          <w:rFonts w:ascii="Georgia" w:cs="Georgia" w:eastAsia="Georgia" w:hAnsi="Georgia"/>
          <w:b/>
          <w:bCs/>
          <w:color w:val="1B3A5C"/>
          <w:sz w:val="32"/>
          <w:szCs w:val="32"/>
        </w:rPr>
        <w:t xml:space="preserve">5. Module B — Mood &amp; Behavioral Instability</w:t>
      </w:r>
    </w:p>
    <w:p>
      <w:pPr>
        <w:spacing w:before="60" w:after="100"/>
      </w:pPr>
      <w:r>
        <w:rPr>
          <w:rFonts w:ascii="Arial" w:cs="Arial" w:eastAsia="Arial" w:hAnsi="Arial"/>
          <w:sz w:val="20"/>
          <w:szCs w:val="20"/>
        </w:rPr>
        <w:t xml:space="preserve">Domain coverage: Mood elevation and depression cycling (inspired by MDQ domains), irritability and impulsivity (inspired by ASRM domains), and functional impact of mood changes. All questions are original compositions.</w:t>
      </w:r>
    </w:p>
    <w:p>
      <w:pPr>
        <w:spacing w:before="60" w:after="100"/>
      </w:pPr>
      <w:r>
        <w:rPr>
          <w:rFonts w:ascii="Arial" w:cs="Arial" w:eastAsia="Arial" w:hAnsi="Arial"/>
          <w:sz w:val="20"/>
          <w:szCs w:val="20"/>
        </w:rPr>
        <w:t xml:space="preserve">Format: 5-point Likert scale. Never = 0, Rarely = 1, Sometimes = 2, Often = 3, Almost Always = 4. Total score range: 0–44.</w:t>
      </w:r>
    </w:p>
    <w:p>
      <w:r>
        <w:t xml:space="preserve"/>
      </w:r>
    </w:p>
    <w:p>
      <w:pPr>
        <w:pStyle w:val="Heading2"/>
        <w:spacing w:before="280" w:after="120"/>
      </w:pPr>
      <w:r>
        <w:rPr>
          <w:rFonts w:ascii="Georgia" w:cs="Georgia" w:eastAsia="Georgia" w:hAnsi="Georgia"/>
          <w:b/>
          <w:bCs/>
          <w:color w:val="2E6DA4"/>
          <w:sz w:val="26"/>
          <w:szCs w:val="26"/>
        </w:rPr>
        <w:t xml:space="preserve">5.1 Screening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460"/>
        <w:gridCol w:w="1400"/>
        <w:gridCol w:w="90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w:t>
            </w:r>
          </w:p>
        </w:tc>
        <w:tc>
          <w:tcPr>
            <w:tcW w:type="dxa" w:w="6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Question</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Domain Inspired By</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Scale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B1</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How often have you experienced periods where your mood felt noticeably elevated or unusually positive in a way that felt different from your normal self?</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MDQ: elevated mood domain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B2</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How often have you experienced the opposite — periods of persistent low mood, sadness, or emptiness?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MDQ: depressive cycling domain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B3</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How often do these high and low periods alternate within the same week or short period?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MDQ: mood cycling domain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B4</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How often do you find yourself feeling intensely irritable or easily provoked in ways that feel out of proportion?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ASRM: irritability domain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B5</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How often have you acted impulsively in a way you later regretted, such as with spending, relationships, or decisions?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MDQ: impulsivity domain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B6</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How often do you feel a strong increase in your drive to start projects, take on tasks, or pursue goals?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ASRM: goal-activity domain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B7</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How often has your sleeping pattern changed significantly — either needing much less sleep or much more than usual?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ASRM: sleep domain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B8</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How often have changes in your mood noticeably affected your work, relationships, or daily responsibilities?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MDQ: functional impact domain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B9</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How often do you feel your thoughts or speech are moving faster than usual — faster than you can manage?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ASRM: thought speed domain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B10</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How often do you feel a heightened sense of self-importance or feel that you have special abilities or insights?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ASRM/MDQ: grandiosity domain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B11</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How often do your moods shift rapidly within a single day without an obvious external cause?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MDQ: rapid cycling domain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0–4</w:t>
            </w:r>
          </w:p>
        </w:tc>
      </w:tr>
    </w:tbl>
    <w:p>
      <w:r>
        <w:t xml:space="preserve"/>
      </w:r>
    </w:p>
    <w:p>
      <w:pPr>
        <w:pStyle w:val="Heading2"/>
        <w:spacing w:before="280" w:after="120"/>
      </w:pPr>
      <w:r>
        <w:rPr>
          <w:rFonts w:ascii="Georgia" w:cs="Georgia" w:eastAsia="Georgia" w:hAnsi="Georgia"/>
          <w:b/>
          <w:bCs/>
          <w:color w:val="2E6DA4"/>
          <w:sz w:val="26"/>
          <w:szCs w:val="26"/>
        </w:rPr>
        <w:t xml:space="preserve">5.2 Scoring &amp; Risk Banding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Score Range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Risk Band</w:t>
            </w:r>
          </w:p>
        </w:tc>
        <w:tc>
          <w:tcPr>
            <w:tcW w:type="dxa" w:w="5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Recommended UX Message</w:t>
            </w:r>
          </w:p>
        </w:tc>
      </w:tr>
      <w:tr>
        <w:tc>
          <w:tcPr>
            <w:tcW w:type="dxa" w:w="18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val="false"/>
                <w:bCs w:val="false"/>
                <w:sz w:val="18"/>
                <w:szCs w:val="18"/>
              </w:rPr>
              <w:t xml:space="preserve">0–10</w:t>
            </w:r>
          </w:p>
        </w:tc>
        <w:tc>
          <w:tcPr>
            <w:tcW w:type="dxa" w:w="20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val="false"/>
                <w:bCs w:val="false"/>
                <w:sz w:val="18"/>
                <w:szCs w:val="18"/>
              </w:rPr>
              <w:t xml:space="preserve">Low — No Flag</w:t>
            </w:r>
          </w:p>
        </w:tc>
        <w:tc>
          <w:tcPr>
            <w:tcW w:type="dxa" w:w="55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val="false"/>
                <w:bCs w:val="false"/>
                <w:sz w:val="18"/>
                <w:szCs w:val="18"/>
              </w:rPr>
              <w:t xml:space="preserve">Your responses did not indicate significant mood or behavioural instability at this time.</w:t>
            </w:r>
          </w:p>
        </w:tc>
      </w:tr>
      <w:tr>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11–23</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Monitor</w:t>
            </w:r>
          </w:p>
        </w:tc>
        <w:tc>
          <w:tcPr>
            <w:tcW w:type="dxa" w:w="5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Your responses suggest some mood variability worth discussing with a healthcare professional.</w:t>
            </w:r>
          </w:p>
        </w:tc>
      </w:tr>
      <w:tr>
        <w:tc>
          <w:tcPr>
            <w:tcW w:type="dxa" w:w="1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sz w:val="18"/>
                <w:szCs w:val="18"/>
              </w:rPr>
              <w:t xml:space="preserve">24+</w:t>
            </w:r>
          </w:p>
        </w:tc>
        <w:tc>
          <w:tcPr>
            <w:tcW w:type="dxa" w:w="2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sz w:val="18"/>
                <w:szCs w:val="18"/>
              </w:rPr>
              <w:t xml:space="preserve">Elevated — Refer</w:t>
            </w:r>
          </w:p>
        </w:tc>
        <w:tc>
          <w:tcPr>
            <w:tcW w:type="dxa" w:w="55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sz w:val="18"/>
                <w:szCs w:val="18"/>
              </w:rPr>
              <w:t xml:space="preserve">Your responses indicate patterns of mood and behaviour that a licensed professional should assess further.</w:t>
            </w:r>
          </w:p>
        </w:tc>
      </w:tr>
    </w:tbl>
    <w:p>
      <w:pPr>
        <w:pBdr>
          <w:bottom w:val="single" w:color="2E6DA4" w:sz="4" w:space="1"/>
        </w:pBdr>
        <w:spacing w:before="200" w:after="200"/>
      </w:pPr>
      <w:r>
        <w:t xml:space="preserve"/>
      </w:r>
    </w:p>
    <w:p>
      <w:pPr>
        <w:pStyle w:val="Heading1"/>
        <w:spacing w:before="360" w:after="180"/>
      </w:pPr>
      <w:r>
        <w:rPr>
          <w:rFonts w:ascii="Georgia" w:cs="Georgia" w:eastAsia="Georgia" w:hAnsi="Georgia"/>
          <w:b/>
          <w:bCs/>
          <w:color w:val="1B3A5C"/>
          <w:sz w:val="32"/>
          <w:szCs w:val="32"/>
        </w:rPr>
        <w:t xml:space="preserve">6. Module C — Cognitive Decline Early Detection</w:t>
      </w:r>
    </w:p>
    <w:p>
      <w:pPr>
        <w:spacing w:before="60" w:after="100"/>
      </w:pPr>
      <w:r>
        <w:rPr>
          <w:rFonts w:ascii="Arial" w:cs="Arial" w:eastAsia="Arial" w:hAnsi="Arial"/>
          <w:sz w:val="20"/>
          <w:szCs w:val="20"/>
        </w:rPr>
        <w:t xml:space="preserve">Domain coverage: Everyday memory and recall changes (inspired by AD8 and Mini-Cog domains), orientation and time awareness (inspired by MoCA and GPCOG domains), executive function and judgement (inspired by MoCA domains), and language recall. All questions are original compositions. This module uses a self-report format; an optional informant section is also specified.</w:t>
      </w:r>
    </w:p>
    <w:p>
      <w:pPr>
        <w:spacing w:before="60" w:after="100"/>
      </w:pPr>
      <w:r>
        <w:rPr>
          <w:rFonts w:ascii="Arial" w:cs="Arial" w:eastAsia="Arial" w:hAnsi="Arial"/>
          <w:sz w:val="20"/>
          <w:szCs w:val="20"/>
        </w:rPr>
        <w:t xml:space="preserve">Format: Yes/No items. Each ‘Yes’ response indicates a reported change and scores 1 point. Total score range: 0–12.</w:t>
      </w:r>
    </w:p>
    <w:p>
      <w:r>
        <w:t xml:space="preserve"/>
      </w:r>
    </w:p>
    <w:p>
      <w:pPr>
        <w:pStyle w:val="Heading2"/>
        <w:spacing w:before="280" w:after="120"/>
      </w:pPr>
      <w:r>
        <w:rPr>
          <w:rFonts w:ascii="Georgia" w:cs="Georgia" w:eastAsia="Georgia" w:hAnsi="Georgia"/>
          <w:b/>
          <w:bCs/>
          <w:color w:val="2E6DA4"/>
          <w:sz w:val="26"/>
          <w:szCs w:val="26"/>
        </w:rPr>
        <w:t xml:space="preserve">6.1 Self-Report Screening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460"/>
        <w:gridCol w:w="1400"/>
        <w:gridCol w:w="90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w:t>
            </w:r>
          </w:p>
        </w:tc>
        <w:tc>
          <w:tcPr>
            <w:tcW w:type="dxa" w:w="6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Question</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Domain Inspired By</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Format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C1</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Have you noticed that you are having more difficulty remembering recent events or conversations than you used to?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AD8: memory change domain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 / No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C2</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 you find it harder to recall the names of people you know well, more than feels normal for your 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AD8/GPCOG: name recall domain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 / No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C3</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Have you had trouble remembering appointments, dates, or things you planned to do?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AD8: prospective memory domain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 / No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C4</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 you sometimes lose track of what day, month, or year it is?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MoCA/GPCOG: orientation domain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 / No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C5</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Have you noticed it takes longer or more effort to manage everyday tasks such as paying bills, cooking, or following instructions?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AD8: executive function domain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 / No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C6</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Have you found it harder to follow along in conversations or in written content that you previously would have had no difficulty with?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MoCA: language domain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 / No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C7</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 you sometimes have difficulty finding the right word in the middle of speaking, more than you used to?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MoCA: word-finding domain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 / No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C8</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Have you noticed changes in your ability to concentrate on a task for a sustained period?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Mini-Cog: attention domain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 / No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C9</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Have you repeated the same question or story to the same person without realising it?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AD8: repetition domain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 / No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C10</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Have you felt confused or disoriented in a familiar place or on a familiar route?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GPCOG: spatial orientation domain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 / No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C11</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Have friends or family expressed concern about your memory or thinking, even if you felt it was unnecessary?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GPCOG: informant-based domain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 / No</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C12</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Have you noticed a change in your ability to make decisions or judge situations compared to a few years ago?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AD8: judgement domain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 / No</w:t>
            </w:r>
          </w:p>
        </w:tc>
      </w:tr>
    </w:tbl>
    <w:p>
      <w:r>
        <w:t xml:space="preserve"/>
      </w:r>
    </w:p>
    <w:p>
      <w:pPr>
        <w:pStyle w:val="Heading2"/>
        <w:spacing w:before="280" w:after="120"/>
      </w:pPr>
      <w:r>
        <w:rPr>
          <w:rFonts w:ascii="Georgia" w:cs="Georgia" w:eastAsia="Georgia" w:hAnsi="Georgia"/>
          <w:b/>
          <w:bCs/>
          <w:color w:val="2E6DA4"/>
          <w:sz w:val="26"/>
          <w:szCs w:val="26"/>
        </w:rPr>
        <w:t xml:space="preserve">6.2 Optional Informant Section (GPCOG-inspired structure)</w:t>
      </w:r>
    </w:p>
    <w:p>
      <w:pPr>
        <w:spacing w:before="60" w:after="100"/>
      </w:pPr>
      <w:r>
        <w:rPr>
          <w:rFonts w:ascii="Arial" w:cs="Arial" w:eastAsia="Arial" w:hAnsi="Arial"/>
          <w:sz w:val="20"/>
          <w:szCs w:val="20"/>
        </w:rPr>
        <w:t xml:space="preserve">This section is completed by a family member or close contact who knows the respondent well. It provides a second perspective and is particularly valuable when self-report scores fall in the Monitor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160"/>
        <w:gridCol w:w="900"/>
        <w:gridCol w:w="700"/>
      </w:tblGrid>
      <w:tr>
        <w:tc>
          <w:tcPr>
            <w:tcW w:type="dxa" w:w="6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17"/>
                <w:szCs w:val="17"/>
              </w:rPr>
              <w:t xml:space="preserve">#</w:t>
            </w:r>
          </w:p>
        </w:tc>
        <w:tc>
          <w:tcPr>
            <w:tcW w:type="dxa" w:w="716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17"/>
                <w:szCs w:val="17"/>
              </w:rPr>
              <w:t xml:space="preserve">Question (for informant)</w:t>
            </w:r>
          </w:p>
        </w:tc>
        <w:tc>
          <w:tcPr>
            <w:tcW w:type="dxa" w:w="9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17"/>
                <w:szCs w:val="17"/>
              </w:rPr>
              <w:t xml:space="preserve">Format</w:t>
            </w:r>
          </w:p>
        </w:tc>
        <w:tc>
          <w:tcPr>
            <w:tcW w:type="dxa" w:w="700"/>
            <w:tcBorders>
              <w:top w:val="single" w:color="CCCCCC" w:sz="1"/>
              <w:left w:val="single" w:color="CCCCCC" w:sz="1"/>
              <w:bottom w:val="single" w:color="CCCCCC" w:sz="1"/>
              <w:right w:val="single" w:color="CCCCCC" w:sz="1"/>
            </w:tcBorders>
            <w:shd w:fill="2E6DA4" w:val="clear"/>
            <w:tcMar>
              <w:top w:type="dxa" w:w="80"/>
              <w:left w:type="dxa" w:w="120"/>
              <w:bottom w:type="dxa" w:w="80"/>
              <w:right w:type="dxa" w:w="120"/>
            </w:tcMar>
          </w:tcPr>
          <w:p>
            <w:r>
              <w:rPr>
                <w:rFonts w:ascii="Arial" w:cs="Arial" w:eastAsia="Arial" w:hAnsi="Arial"/>
                <w:b/>
                <w:bCs/>
                <w:color w:val="FFFFFF"/>
                <w:sz w:val="17"/>
                <w:szCs w:val="17"/>
              </w:rPr>
              <w:t xml:space="preserve">Score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I1</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Compared to a few years ago, does the person have more difficulty remembering recent events?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 / No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I2</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Does the person seem to have more trouble recalling the names of close friends or family?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 / No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I3</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Have you noticed the person repeating themselves — asking the same questions or telling the same stories?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 / No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I4</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Does the person seem to struggle more than before with managing finances, medication, or other practical tasks?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 / No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I5</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Does the person sometimes seem confused about the day, date, or time of year?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 / No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Yes=1</w:t>
            </w:r>
          </w:p>
        </w:tc>
      </w:tr>
    </w:tbl>
    <w:p>
      <w:r>
        <w:t xml:space="preserve"/>
      </w:r>
    </w:p>
    <w:p>
      <w:pPr>
        <w:pStyle w:val="Heading2"/>
        <w:spacing w:before="280" w:after="120"/>
      </w:pPr>
      <w:r>
        <w:rPr>
          <w:rFonts w:ascii="Georgia" w:cs="Georgia" w:eastAsia="Georgia" w:hAnsi="Georgia"/>
          <w:b/>
          <w:bCs/>
          <w:color w:val="2E6DA4"/>
          <w:sz w:val="26"/>
          <w:szCs w:val="26"/>
        </w:rPr>
        <w:t xml:space="preserve">6.3 Scoring &amp; Risk Banding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Self-Report Score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Risk Band</w:t>
            </w:r>
          </w:p>
        </w:tc>
        <w:tc>
          <w:tcPr>
            <w:tcW w:type="dxa" w:w="5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Recommended UX Message</w:t>
            </w:r>
          </w:p>
        </w:tc>
      </w:tr>
      <w:tr>
        <w:tc>
          <w:tcPr>
            <w:tcW w:type="dxa" w:w="18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val="false"/>
                <w:bCs w:val="false"/>
                <w:sz w:val="18"/>
                <w:szCs w:val="18"/>
              </w:rPr>
              <w:t xml:space="preserve">0–2</w:t>
            </w:r>
          </w:p>
        </w:tc>
        <w:tc>
          <w:tcPr>
            <w:tcW w:type="dxa" w:w="20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val="false"/>
                <w:bCs w:val="false"/>
                <w:sz w:val="18"/>
                <w:szCs w:val="18"/>
              </w:rPr>
              <w:t xml:space="preserve">Low — No Flag</w:t>
            </w:r>
          </w:p>
        </w:tc>
        <w:tc>
          <w:tcPr>
            <w:tcW w:type="dxa" w:w="55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val="false"/>
                <w:bCs w:val="false"/>
                <w:sz w:val="18"/>
                <w:szCs w:val="18"/>
              </w:rPr>
              <w:t xml:space="preserve">Your responses did not indicate significant changes in everyday thinking or memory at this time.</w:t>
            </w:r>
          </w:p>
        </w:tc>
      </w:tr>
      <w:tr>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3–5</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Monitor</w:t>
            </w:r>
          </w:p>
        </w:tc>
        <w:tc>
          <w:tcPr>
            <w:tcW w:type="dxa" w:w="55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18"/>
                <w:szCs w:val="18"/>
              </w:rPr>
              <w:t xml:space="preserve">Some responses suggest it may be useful to discuss everyday memory and thinking with your doctor.</w:t>
            </w:r>
          </w:p>
        </w:tc>
      </w:tr>
      <w:tr>
        <w:tc>
          <w:tcPr>
            <w:tcW w:type="dxa" w:w="1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sz w:val="18"/>
                <w:szCs w:val="18"/>
              </w:rPr>
              <w:t xml:space="preserve">6+</w:t>
            </w:r>
          </w:p>
        </w:tc>
        <w:tc>
          <w:tcPr>
            <w:tcW w:type="dxa" w:w="20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sz w:val="18"/>
                <w:szCs w:val="18"/>
              </w:rPr>
              <w:t xml:space="preserve">Elevated — Refer</w:t>
            </w:r>
          </w:p>
        </w:tc>
        <w:tc>
          <w:tcPr>
            <w:tcW w:type="dxa" w:w="55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sz w:val="18"/>
                <w:szCs w:val="18"/>
              </w:rPr>
              <w:t xml:space="preserve">Your responses indicate patterns that warrant professional evaluation by a neurologist or GP.</w:t>
            </w:r>
          </w:p>
        </w:tc>
      </w:tr>
    </w:tbl>
    <w:p>
      <w:pPr>
        <w:spacing w:before="60" w:after="100"/>
      </w:pPr>
      <w:r>
        <w:rPr>
          <w:rFonts w:ascii="Arial" w:cs="Arial" w:eastAsia="Arial" w:hAnsi="Arial"/>
          <w:i/>
          <w:iCs/>
          <w:color w:val="555555"/>
          <w:sz w:val="20"/>
          <w:szCs w:val="20"/>
        </w:rPr>
        <w:t xml:space="preserve">If informant score is 3+ and self-report is in Monitor band, escalate automatically to Elevated.</w:t>
      </w:r>
    </w:p>
    <w:p>
      <w:pPr>
        <w:pBdr>
          <w:bottom w:val="single" w:color="2E6DA4" w:sz="4" w:space="1"/>
        </w:pBdr>
        <w:spacing w:before="200" w:after="200"/>
      </w:pPr>
      <w:r>
        <w:t xml:space="preserve"/>
      </w:r>
    </w:p>
    <w:p>
      <w:pPr>
        <w:pStyle w:val="Heading1"/>
        <w:spacing w:before="360" w:after="180"/>
      </w:pPr>
      <w:r>
        <w:rPr>
          <w:rFonts w:ascii="Georgia" w:cs="Georgia" w:eastAsia="Georgia" w:hAnsi="Georgia"/>
          <w:b/>
          <w:bCs/>
          <w:color w:val="1B3A5C"/>
          <w:sz w:val="32"/>
          <w:szCs w:val="32"/>
        </w:rPr>
        <w:t xml:space="preserve">7. Escalation Logic — 4-Tier Framework</w:t>
      </w:r>
    </w:p>
    <w:p>
      <w:pPr>
        <w:spacing w:before="60" w:after="100"/>
      </w:pPr>
      <w:r>
        <w:rPr>
          <w:rFonts w:ascii="Arial" w:cs="Arial" w:eastAsia="Arial" w:hAnsi="Arial"/>
          <w:sz w:val="20"/>
          <w:szCs w:val="20"/>
        </w:rPr>
        <w:t xml:space="preserve">The system must implement a 4-tier escalation model. Tier assignment is determined by the highest risk band reached across all completed modules, with override rules for specific item responses.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2400"/>
        <w:gridCol w:w="20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Tier</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Label</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Trigger Condition</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System Action</w:t>
            </w:r>
          </w:p>
        </w:tc>
        <w:tc>
          <w:tcPr>
            <w:tcW w:type="dxa" w:w="2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UX Behaviour</w:t>
            </w:r>
          </w:p>
        </w:tc>
      </w:tr>
      <w:tr>
        <w:tc>
          <w:tcPr>
            <w:tcW w:type="dxa" w:w="9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val="false"/>
                <w:bCs w:val="false"/>
                <w:sz w:val="18"/>
                <w:szCs w:val="18"/>
              </w:rPr>
              <w:t xml:space="preserve">1</w:t>
            </w:r>
          </w:p>
        </w:tc>
        <w:tc>
          <w:tcPr>
            <w:tcW w:type="dxa" w:w="16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val="false"/>
                <w:bCs w:val="false"/>
                <w:sz w:val="18"/>
                <w:szCs w:val="18"/>
              </w:rPr>
              <w:t xml:space="preserve">No Concern</w:t>
            </w:r>
          </w:p>
        </w:tc>
        <w:tc>
          <w:tcPr>
            <w:tcW w:type="dxa" w:w="24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val="false"/>
                <w:bCs w:val="false"/>
                <w:sz w:val="18"/>
                <w:szCs w:val="18"/>
              </w:rPr>
              <w:t xml:space="preserve">All modules score Low</w:t>
            </w:r>
          </w:p>
        </w:tc>
        <w:tc>
          <w:tcPr>
            <w:tcW w:type="dxa" w:w="240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val="false"/>
                <w:bCs w:val="false"/>
                <w:sz w:val="18"/>
                <w:szCs w:val="18"/>
              </w:rPr>
              <w:t xml:space="preserve">Log result. No alert. Provide wellness resources optionally.</w:t>
            </w:r>
          </w:p>
        </w:tc>
        <w:tc>
          <w:tcPr>
            <w:tcW w:type="dxa" w:w="2060"/>
            <w:tcBorders>
              <w:top w:val="single" w:color="CCCCCC" w:sz="1"/>
              <w:left w:val="single" w:color="CCCCCC" w:sz="1"/>
              <w:bottom w:val="single" w:color="CCCCCC" w:sz="1"/>
              <w:right w:val="single" w:color="CCCCCC" w:sz="1"/>
            </w:tcBorders>
            <w:shd w:fill="E6F4EA" w:val="clear"/>
            <w:tcMar>
              <w:top w:type="dxa" w:w="80"/>
              <w:left w:type="dxa" w:w="120"/>
              <w:bottom w:type="dxa" w:w="80"/>
              <w:right w:type="dxa" w:w="120"/>
            </w:tcMar>
          </w:tcPr>
          <w:p>
            <w:r>
              <w:rPr>
                <w:rFonts w:ascii="Arial" w:cs="Arial" w:eastAsia="Arial" w:hAnsi="Arial"/>
                <w:b w:val="false"/>
                <w:bCs w:val="false"/>
                <w:sz w:val="18"/>
                <w:szCs w:val="18"/>
              </w:rPr>
              <w:t xml:space="preserve">Green indicator. Generic wellness message.</w:t>
            </w:r>
          </w:p>
        </w:tc>
      </w:tr>
      <w:tr>
        <w:tc>
          <w:tcPr>
            <w:tcW w:type="dxa" w:w="9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sz w:val="18"/>
                <w:szCs w:val="18"/>
              </w:rPr>
              <w:t xml:space="preserve">2</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sz w:val="18"/>
                <w:szCs w:val="18"/>
              </w:rPr>
              <w:t xml:space="preserve">Monitor</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sz w:val="18"/>
                <w:szCs w:val="18"/>
              </w:rPr>
              <w:t xml:space="preserve">Any module reaches Monitor band</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sz w:val="18"/>
                <w:szCs w:val="18"/>
              </w:rPr>
              <w:t xml:space="preserve">Log result with flag. Send optional email summary prompt.</w:t>
            </w:r>
          </w:p>
        </w:tc>
        <w:tc>
          <w:tcPr>
            <w:tcW w:type="dxa" w:w="20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sz w:val="18"/>
                <w:szCs w:val="18"/>
              </w:rPr>
              <w:t xml:space="preserve">Amber indicator. Encourage speaking with a provider.</w:t>
            </w:r>
          </w:p>
        </w:tc>
      </w:tr>
      <w:tr>
        <w:tc>
          <w:tcPr>
            <w:tcW w:type="dxa" w:w="9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sz w:val="18"/>
                <w:szCs w:val="18"/>
              </w:rPr>
              <w:t xml:space="preserve">3</w:t>
            </w:r>
          </w:p>
        </w:tc>
        <w:tc>
          <w:tcPr>
            <w:tcW w:type="dxa" w:w="16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sz w:val="18"/>
                <w:szCs w:val="18"/>
              </w:rPr>
              <w:t xml:space="preserve">Elevated — Refer</w:t>
            </w:r>
          </w:p>
        </w:tc>
        <w:tc>
          <w:tcPr>
            <w:tcW w:type="dxa" w:w="24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sz w:val="18"/>
                <w:szCs w:val="18"/>
              </w:rPr>
              <w:t xml:space="preserve">Any module reaches Elevated band</w:t>
            </w:r>
          </w:p>
        </w:tc>
        <w:tc>
          <w:tcPr>
            <w:tcW w:type="dxa" w:w="24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sz w:val="18"/>
                <w:szCs w:val="18"/>
              </w:rPr>
              <w:t xml:space="preserve">Flag in research DB. Display referral resources. Prompt GP contact.</w:t>
            </w:r>
          </w:p>
        </w:tc>
        <w:tc>
          <w:tcPr>
            <w:tcW w:type="dxa" w:w="206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sz w:val="18"/>
                <w:szCs w:val="18"/>
              </w:rPr>
              <w:t xml:space="preserve">Red indicator. Referral message shown prominently.</w:t>
            </w:r>
          </w:p>
        </w:tc>
      </w:tr>
      <w:tr>
        <w:tc>
          <w:tcPr>
            <w:tcW w:type="dxa" w:w="900"/>
            <w:tcBorders>
              <w:top w:val="single" w:color="CCCCCC" w:sz="1"/>
              <w:left w:val="single" w:color="CCCCCC" w:sz="1"/>
              <w:bottom w:val="single" w:color="CCCCCC" w:sz="1"/>
              <w:right w:val="single" w:color="CCCCCC" w:sz="1"/>
            </w:tcBorders>
            <w:shd w:fill="FFB3B3" w:val="clear"/>
            <w:tcMar>
              <w:top w:type="dxa" w:w="80"/>
              <w:left w:type="dxa" w:w="120"/>
              <w:bottom w:type="dxa" w:w="80"/>
              <w:right w:type="dxa" w:w="120"/>
            </w:tcMar>
          </w:tcPr>
          <w:p>
            <w:r>
              <w:rPr>
                <w:rFonts w:ascii="Arial" w:cs="Arial" w:eastAsia="Arial" w:hAnsi="Arial"/>
                <w:b w:val="false"/>
                <w:bCs w:val="false"/>
                <w:sz w:val="18"/>
                <w:szCs w:val="18"/>
              </w:rPr>
              <w:t xml:space="preserve">4</w:t>
            </w:r>
          </w:p>
        </w:tc>
        <w:tc>
          <w:tcPr>
            <w:tcW w:type="dxa" w:w="1600"/>
            <w:tcBorders>
              <w:top w:val="single" w:color="CCCCCC" w:sz="1"/>
              <w:left w:val="single" w:color="CCCCCC" w:sz="1"/>
              <w:bottom w:val="single" w:color="CCCCCC" w:sz="1"/>
              <w:right w:val="single" w:color="CCCCCC" w:sz="1"/>
            </w:tcBorders>
            <w:shd w:fill="FFB3B3" w:val="clear"/>
            <w:tcMar>
              <w:top w:type="dxa" w:w="80"/>
              <w:left w:type="dxa" w:w="120"/>
              <w:bottom w:type="dxa" w:w="80"/>
              <w:right w:type="dxa" w:w="120"/>
            </w:tcMar>
          </w:tcPr>
          <w:p>
            <w:r>
              <w:rPr>
                <w:rFonts w:ascii="Arial" w:cs="Arial" w:eastAsia="Arial" w:hAnsi="Arial"/>
                <w:b/>
                <w:bCs/>
                <w:sz w:val="18"/>
                <w:szCs w:val="18"/>
              </w:rPr>
              <w:t xml:space="preserve">CRITICAL OVERRIDE</w:t>
            </w:r>
          </w:p>
        </w:tc>
        <w:tc>
          <w:tcPr>
            <w:tcW w:type="dxa" w:w="2400"/>
            <w:tcBorders>
              <w:top w:val="single" w:color="CCCCCC" w:sz="1"/>
              <w:left w:val="single" w:color="CCCCCC" w:sz="1"/>
              <w:bottom w:val="single" w:color="CCCCCC" w:sz="1"/>
              <w:right w:val="single" w:color="CCCCCC" w:sz="1"/>
            </w:tcBorders>
            <w:shd w:fill="FFB3B3" w:val="clear"/>
            <w:tcMar>
              <w:top w:type="dxa" w:w="80"/>
              <w:left w:type="dxa" w:w="120"/>
              <w:bottom w:type="dxa" w:w="80"/>
              <w:right w:type="dxa" w:w="120"/>
            </w:tcMar>
          </w:tcPr>
          <w:p>
            <w:r>
              <w:rPr>
                <w:rFonts w:ascii="Arial" w:cs="Arial" w:eastAsia="Arial" w:hAnsi="Arial"/>
                <w:b/>
                <w:bCs/>
                <w:sz w:val="18"/>
                <w:szCs w:val="18"/>
              </w:rPr>
              <w:t xml:space="preserve">A1, A2, or A3 answered Yes in Module A</w:t>
            </w:r>
          </w:p>
        </w:tc>
        <w:tc>
          <w:tcPr>
            <w:tcW w:type="dxa" w:w="2400"/>
            <w:tcBorders>
              <w:top w:val="single" w:color="CCCCCC" w:sz="1"/>
              <w:left w:val="single" w:color="CCCCCC" w:sz="1"/>
              <w:bottom w:val="single" w:color="CCCCCC" w:sz="1"/>
              <w:right w:val="single" w:color="CCCCCC" w:sz="1"/>
            </w:tcBorders>
            <w:shd w:fill="FFB3B3" w:val="clear"/>
            <w:tcMar>
              <w:top w:type="dxa" w:w="80"/>
              <w:left w:type="dxa" w:w="120"/>
              <w:bottom w:type="dxa" w:w="80"/>
              <w:right w:type="dxa" w:w="120"/>
            </w:tcMar>
          </w:tcPr>
          <w:p>
            <w:r>
              <w:rPr>
                <w:rFonts w:ascii="Arial" w:cs="Arial" w:eastAsia="Arial" w:hAnsi="Arial"/>
                <w:b/>
                <w:bCs/>
                <w:sz w:val="18"/>
                <w:szCs w:val="18"/>
              </w:rPr>
              <w:t xml:space="preserve">Immediately interrupt flow. Block further questions. Log critical event. Trigger crisis alert.</w:t>
            </w:r>
          </w:p>
        </w:tc>
        <w:tc>
          <w:tcPr>
            <w:tcW w:type="dxa" w:w="2060"/>
            <w:tcBorders>
              <w:top w:val="single" w:color="CCCCCC" w:sz="1"/>
              <w:left w:val="single" w:color="CCCCCC" w:sz="1"/>
              <w:bottom w:val="single" w:color="CCCCCC" w:sz="1"/>
              <w:right w:val="single" w:color="CCCCCC" w:sz="1"/>
            </w:tcBorders>
            <w:shd w:fill="FFB3B3" w:val="clear"/>
            <w:tcMar>
              <w:top w:type="dxa" w:w="80"/>
              <w:left w:type="dxa" w:w="120"/>
              <w:bottom w:type="dxa" w:w="80"/>
              <w:right w:type="dxa" w:w="120"/>
            </w:tcMar>
          </w:tcPr>
          <w:p>
            <w:r>
              <w:rPr>
                <w:rFonts w:ascii="Arial" w:cs="Arial" w:eastAsia="Arial" w:hAnsi="Arial"/>
                <w:b/>
                <w:bCs/>
                <w:sz w:val="18"/>
                <w:szCs w:val="18"/>
              </w:rPr>
              <w:t xml:space="preserve">Full-screen crisis message. 988 and 911 displayed immediately.</w:t>
            </w:r>
          </w:p>
        </w:tc>
      </w:tr>
    </w:tbl>
    <w:p>
      <w:r>
        <w:t xml:space="preserve"/>
      </w:r>
    </w:p>
    <w:p>
      <w:pPr>
        <w:spacing w:before="60" w:after="100"/>
      </w:pPr>
      <w:r>
        <w:rPr>
          <w:rFonts w:ascii="Arial" w:cs="Arial" w:eastAsia="Arial" w:hAnsi="Arial"/>
          <w:b/>
          <w:bCs/>
          <w:color w:val="CC0000"/>
          <w:sz w:val="20"/>
          <w:szCs w:val="20"/>
        </w:rPr>
        <w:t xml:space="preserve">Tier 4 must be implemented as a hard interrupt. The user must not be able to continue the screening flow until they acknowledge the crisis resources screen. This is a non-negotiable UX safety requirement.</w:t>
      </w:r>
    </w:p>
    <w:p>
      <w:pPr>
        <w:pBdr>
          <w:bottom w:val="single" w:color="2E6DA4" w:sz="4" w:space="1"/>
        </w:pBdr>
        <w:spacing w:before="200" w:after="200"/>
      </w:pPr>
      <w:r>
        <w:t xml:space="preserve"/>
      </w:r>
    </w:p>
    <w:p>
      <w:pPr>
        <w:pStyle w:val="Heading1"/>
        <w:spacing w:before="360" w:after="180"/>
      </w:pPr>
      <w:r>
        <w:rPr>
          <w:rFonts w:ascii="Georgia" w:cs="Georgia" w:eastAsia="Georgia" w:hAnsi="Georgia"/>
          <w:b/>
          <w:bCs/>
          <w:color w:val="1B3A5C"/>
          <w:sz w:val="32"/>
          <w:szCs w:val="32"/>
        </w:rPr>
        <w:t xml:space="preserve">8. Backend JSON Data Structure</w:t>
      </w:r>
    </w:p>
    <w:p>
      <w:pPr>
        <w:spacing w:before="60" w:after="100"/>
      </w:pPr>
      <w:r>
        <w:rPr>
          <w:rFonts w:ascii="Arial" w:cs="Arial" w:eastAsia="Arial" w:hAnsi="Arial"/>
          <w:sz w:val="20"/>
          <w:szCs w:val="20"/>
        </w:rPr>
        <w:t xml:space="preserve">The following JSON schema defines the structure of a completed screening session record. This is the recommended format for database storage, API responses, and research data export.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200"/>
              <w:bottom w:type="dxa" w:w="120"/>
              <w:right w:type="dxa" w:w="200"/>
            </w:tcMar>
          </w:tcPr>
          <w:p>
            <w:r>
              <w:rPr>
                <w:rFonts w:ascii="Courier New" w:cs="Courier New" w:eastAsia="Courier New" w:hAnsi="Courier New"/>
                <w:sz w:val="18"/>
                <w:szCs w:val="18"/>
              </w:rPr>
              <w:t xml:space="preserve">{</w:t>
            </w:r>
          </w:p>
          <w:p>
            <w:pPr>
              <w:ind w:left="360"/>
            </w:pPr>
            <w:r>
              <w:rPr>
                <w:rFonts w:ascii="Courier New" w:cs="Courier New" w:eastAsia="Courier New" w:hAnsi="Courier New"/>
                <w:sz w:val="18"/>
                <w:szCs w:val="18"/>
              </w:rPr>
              <w:t xml:space="preserve">"session_id": "uuid-v4",</w:t>
            </w:r>
          </w:p>
          <w:p>
            <w:pPr>
              <w:ind w:left="360"/>
            </w:pPr>
            <w:r>
              <w:rPr>
                <w:rFonts w:ascii="Courier New" w:cs="Courier New" w:eastAsia="Courier New" w:hAnsi="Courier New"/>
                <w:sz w:val="18"/>
                <w:szCs w:val="18"/>
              </w:rPr>
              <w:t xml:space="preserve">"created_at": "ISO-8601 timestamp",</w:t>
            </w:r>
          </w:p>
          <w:p>
            <w:pPr>
              <w:ind w:left="360"/>
            </w:pPr>
            <w:r>
              <w:rPr>
                <w:rFonts w:ascii="Courier New" w:cs="Courier New" w:eastAsia="Courier New" w:hAnsi="Courier New"/>
                <w:sz w:val="18"/>
                <w:szCs w:val="18"/>
              </w:rPr>
              <w:t xml:space="preserve">"platform_version": "1.0",</w:t>
            </w:r>
          </w:p>
          <w:p>
            <w:pPr>
              <w:ind w:left="360"/>
            </w:pPr>
            <w:r>
              <w:rPr>
                <w:rFonts w:ascii="Courier New" w:cs="Courier New" w:eastAsia="Courier New" w:hAnsi="Courier New"/>
                <w:sz w:val="18"/>
                <w:szCs w:val="18"/>
              </w:rPr>
              <w:t xml:space="preserve">"disclaimer_acknowledged": true,</w:t>
            </w:r>
          </w:p>
          <w:p>
            <w:pPr>
              <w:ind w:left="360"/>
            </w:pPr>
            <w:r>
              <w:rPr>
                <w:rFonts w:ascii="Courier New" w:cs="Courier New" w:eastAsia="Courier New" w:hAnsi="Courier New"/>
                <w:color w:val="008800"/>
                <w:sz w:val="18"/>
                <w:szCs w:val="18"/>
              </w:rPr>
              <w:t xml:space="preserve">"escalation_tier": 1,  // 1-4</w:t>
            </w:r>
          </w:p>
          <w:p>
            <w:pPr>
              <w:ind w:left="360"/>
            </w:pPr>
            <w:r>
              <w:rPr>
                <w:rFonts w:ascii="Courier New" w:cs="Courier New" w:eastAsia="Courier New" w:hAnsi="Courier New"/>
                <w:sz w:val="18"/>
                <w:szCs w:val="18"/>
              </w:rPr>
              <w:t xml:space="preserve">"critical_override_triggered": false,</w:t>
            </w:r>
          </w:p>
          <w:p>
            <w:pPr>
              <w:ind w:left="360"/>
            </w:pPr>
            <w:r>
              <w:rPr>
                <w:rFonts w:ascii="Courier New" w:cs="Courier New" w:eastAsia="Courier New" w:hAnsi="Courier New"/>
                <w:sz w:val="18"/>
                <w:szCs w:val="18"/>
              </w:rPr>
              <w:t xml:space="preserve">"modules": {</w:t>
            </w:r>
          </w:p>
          <w:p>
            <w:pPr>
              <w:ind w:left="720"/>
            </w:pPr>
            <w:r>
              <w:rPr>
                <w:rFonts w:ascii="Courier New" w:cs="Courier New" w:eastAsia="Courier New" w:hAnsi="Courier New"/>
                <w:sz w:val="18"/>
                <w:szCs w:val="18"/>
              </w:rPr>
              <w:t xml:space="preserve">"module_a": {</w:t>
            </w:r>
          </w:p>
          <w:p>
            <w:pPr>
              <w:ind w:left="1080"/>
            </w:pPr>
            <w:r>
              <w:rPr>
                <w:rFonts w:ascii="Courier New" w:cs="Courier New" w:eastAsia="Courier New" w:hAnsi="Courier New"/>
                <w:sz w:val="18"/>
                <w:szCs w:val="18"/>
              </w:rPr>
              <w:t xml:space="preserve">"completed": true,</w:t>
            </w:r>
          </w:p>
          <w:p>
            <w:pPr>
              <w:ind w:left="1080"/>
            </w:pPr>
            <w:r>
              <w:rPr>
                <w:rFonts w:ascii="Courier New" w:cs="Courier New" w:eastAsia="Courier New" w:hAnsi="Courier New"/>
                <w:sz w:val="18"/>
                <w:szCs w:val="18"/>
              </w:rPr>
              <w:t xml:space="preserve">"raw_score": 2,</w:t>
            </w:r>
          </w:p>
          <w:p>
            <w:pPr>
              <w:ind w:left="1080"/>
            </w:pPr>
            <w:r>
              <w:rPr>
                <w:rFonts w:ascii="Courier New" w:cs="Courier New" w:eastAsia="Courier New" w:hAnsi="Courier New"/>
                <w:color w:val="008800"/>
                <w:sz w:val="18"/>
                <w:szCs w:val="18"/>
              </w:rPr>
              <w:t xml:space="preserve">"risk_band": "monitor",  // "low" | "monitor" | "elevated"</w:t>
            </w:r>
          </w:p>
          <w:p>
            <w:pPr>
              <w:ind w:left="1080"/>
            </w:pPr>
            <w:r>
              <w:rPr>
                <w:rFonts w:ascii="Courier New" w:cs="Courier New" w:eastAsia="Courier New" w:hAnsi="Courier New"/>
                <w:sz w:val="18"/>
                <w:szCs w:val="18"/>
              </w:rPr>
              <w:t xml:space="preserve">"critical_items_flagged": ["A1"],</w:t>
            </w:r>
          </w:p>
          <w:p>
            <w:pPr>
              <w:ind w:left="1080"/>
            </w:pPr>
            <w:r>
              <w:rPr>
                <w:rFonts w:ascii="Courier New" w:cs="Courier New" w:eastAsia="Courier New" w:hAnsi="Courier New"/>
                <w:sz w:val="18"/>
                <w:szCs w:val="18"/>
              </w:rPr>
              <w:t xml:space="preserve">"responses": {</w:t>
            </w:r>
          </w:p>
          <w:p>
            <w:pPr>
              <w:ind w:left="1440"/>
            </w:pPr>
            <w:r>
              <w:rPr>
                <w:rFonts w:ascii="Courier New" w:cs="Courier New" w:eastAsia="Courier New" w:hAnsi="Courier New"/>
                <w:sz w:val="18"/>
                <w:szCs w:val="18"/>
              </w:rPr>
              <w:t xml:space="preserve">"A1": true, "A2": false, "A3": false,</w:t>
            </w:r>
          </w:p>
          <w:p>
            <w:pPr>
              <w:ind w:left="1440"/>
            </w:pPr>
            <w:r>
              <w:rPr>
                <w:rFonts w:ascii="Courier New" w:cs="Courier New" w:eastAsia="Courier New" w:hAnsi="Courier New"/>
                <w:sz w:val="18"/>
                <w:szCs w:val="18"/>
              </w:rPr>
              <w:t xml:space="preserve">"A4": false, "A5": false, "A6": false, "A7": false,</w:t>
            </w:r>
          </w:p>
          <w:p>
            <w:pPr>
              <w:ind w:left="1440"/>
            </w:pPr>
            <w:r>
              <w:rPr>
                <w:rFonts w:ascii="Courier New" w:cs="Courier New" w:eastAsia="Courier New" w:hAnsi="Courier New"/>
                <w:sz w:val="18"/>
                <w:szCs w:val="18"/>
              </w:rPr>
              <w:t xml:space="preserve">"A8": false, "A9": true, "A10": false, "A11": false</w:t>
            </w:r>
          </w:p>
          <w:p>
            <w:pPr>
              <w:ind w:left="1080"/>
            </w:pPr>
            <w:r>
              <w:rPr>
                <w:rFonts w:ascii="Courier New" w:cs="Courier New" w:eastAsia="Courier New" w:hAnsi="Courier New"/>
                <w:sz w:val="18"/>
                <w:szCs w:val="18"/>
              </w:rPr>
              <w:t xml:space="preserve">}</w:t>
            </w:r>
          </w:p>
          <w:p>
            <w:pPr>
              <w:ind w:left="720"/>
            </w:pPr>
            <w:r>
              <w:rPr>
                <w:rFonts w:ascii="Courier New" w:cs="Courier New" w:eastAsia="Courier New" w:hAnsi="Courier New"/>
                <w:sz w:val="18"/>
                <w:szCs w:val="18"/>
              </w:rPr>
              <w:t xml:space="preserve">},</w:t>
            </w:r>
          </w:p>
          <w:p>
            <w:pPr>
              <w:ind w:left="720"/>
            </w:pPr>
            <w:r>
              <w:rPr>
                <w:rFonts w:ascii="Courier New" w:cs="Courier New" w:eastAsia="Courier New" w:hAnsi="Courier New"/>
                <w:sz w:val="18"/>
                <w:szCs w:val="18"/>
              </w:rPr>
              <w:t xml:space="preserve">"module_b": {</w:t>
            </w:r>
          </w:p>
          <w:p>
            <w:pPr>
              <w:ind w:left="1080"/>
            </w:pPr>
            <w:r>
              <w:rPr>
                <w:rFonts w:ascii="Courier New" w:cs="Courier New" w:eastAsia="Courier New" w:hAnsi="Courier New"/>
                <w:sz w:val="18"/>
                <w:szCs w:val="18"/>
              </w:rPr>
              <w:t xml:space="preserve">"completed": true,</w:t>
            </w:r>
          </w:p>
          <w:p>
            <w:pPr>
              <w:ind w:left="1080"/>
            </w:pPr>
            <w:r>
              <w:rPr>
                <w:rFonts w:ascii="Courier New" w:cs="Courier New" w:eastAsia="Courier New" w:hAnsi="Courier New"/>
                <w:sz w:val="18"/>
                <w:szCs w:val="18"/>
              </w:rPr>
              <w:t xml:space="preserve">"raw_score": 14,</w:t>
            </w:r>
          </w:p>
          <w:p>
            <w:pPr>
              <w:ind w:left="1080"/>
            </w:pPr>
            <w:r>
              <w:rPr>
                <w:rFonts w:ascii="Courier New" w:cs="Courier New" w:eastAsia="Courier New" w:hAnsi="Courier New"/>
                <w:sz w:val="18"/>
                <w:szCs w:val="18"/>
              </w:rPr>
              <w:t xml:space="preserve">"risk_band": "monitor",</w:t>
            </w:r>
          </w:p>
          <w:p>
            <w:pPr>
              <w:ind w:left="1080"/>
            </w:pPr>
            <w:r>
              <w:rPr>
                <w:rFonts w:ascii="Courier New" w:cs="Courier New" w:eastAsia="Courier New" w:hAnsi="Courier New"/>
                <w:sz w:val="18"/>
                <w:szCs w:val="18"/>
              </w:rPr>
              <w:t xml:space="preserve">"responses": { "B1": 3, "B2": 2, "B3": 1, ... }</w:t>
            </w:r>
          </w:p>
          <w:p>
            <w:pPr>
              <w:ind w:left="720"/>
            </w:pPr>
            <w:r>
              <w:rPr>
                <w:rFonts w:ascii="Courier New" w:cs="Courier New" w:eastAsia="Courier New" w:hAnsi="Courier New"/>
                <w:sz w:val="18"/>
                <w:szCs w:val="18"/>
              </w:rPr>
              <w:t xml:space="preserve">},</w:t>
            </w:r>
          </w:p>
          <w:p>
            <w:pPr>
              <w:ind w:left="720"/>
            </w:pPr>
            <w:r>
              <w:rPr>
                <w:rFonts w:ascii="Courier New" w:cs="Courier New" w:eastAsia="Courier New" w:hAnsi="Courier New"/>
                <w:sz w:val="18"/>
                <w:szCs w:val="18"/>
              </w:rPr>
              <w:t xml:space="preserve">"module_c": {</w:t>
            </w:r>
          </w:p>
          <w:p>
            <w:pPr>
              <w:ind w:left="1080"/>
            </w:pPr>
            <w:r>
              <w:rPr>
                <w:rFonts w:ascii="Courier New" w:cs="Courier New" w:eastAsia="Courier New" w:hAnsi="Courier New"/>
                <w:sz w:val="18"/>
                <w:szCs w:val="18"/>
              </w:rPr>
              <w:t xml:space="preserve">"completed": true,</w:t>
            </w:r>
          </w:p>
          <w:p>
            <w:pPr>
              <w:ind w:left="1080"/>
            </w:pPr>
            <w:r>
              <w:rPr>
                <w:rFonts w:ascii="Courier New" w:cs="Courier New" w:eastAsia="Courier New" w:hAnsi="Courier New"/>
                <w:sz w:val="18"/>
                <w:szCs w:val="18"/>
              </w:rPr>
              <w:t xml:space="preserve">"self_report_score": 1,</w:t>
            </w:r>
          </w:p>
          <w:p>
            <w:pPr>
              <w:ind w:left="1080"/>
            </w:pPr>
            <w:r>
              <w:rPr>
                <w:rFonts w:ascii="Courier New" w:cs="Courier New" w:eastAsia="Courier New" w:hAnsi="Courier New"/>
                <w:color w:val="008800"/>
                <w:sz w:val="18"/>
                <w:szCs w:val="18"/>
              </w:rPr>
              <w:t xml:space="preserve">"informant_score": null,  // null if not completed</w:t>
            </w:r>
          </w:p>
          <w:p>
            <w:pPr>
              <w:ind w:left="1080"/>
            </w:pPr>
            <w:r>
              <w:rPr>
                <w:rFonts w:ascii="Courier New" w:cs="Courier New" w:eastAsia="Courier New" w:hAnsi="Courier New"/>
                <w:sz w:val="18"/>
                <w:szCs w:val="18"/>
              </w:rPr>
              <w:t xml:space="preserve">"risk_band": "low",</w:t>
            </w:r>
          </w:p>
          <w:p>
            <w:pPr>
              <w:ind w:left="1080"/>
            </w:pPr>
            <w:r>
              <w:rPr>
                <w:rFonts w:ascii="Courier New" w:cs="Courier New" w:eastAsia="Courier New" w:hAnsi="Courier New"/>
                <w:sz w:val="18"/>
                <w:szCs w:val="18"/>
              </w:rPr>
              <w:t xml:space="preserve">"responses": { "C1": false, "C2": false, "C3": true, ... }</w:t>
            </w:r>
          </w:p>
          <w:p>
            <w:pPr>
              <w:ind w:left="720"/>
            </w:pPr>
            <w:r>
              <w:rPr>
                <w:rFonts w:ascii="Courier New" w:cs="Courier New" w:eastAsia="Courier New" w:hAnsi="Courier New"/>
                <w:sz w:val="18"/>
                <w:szCs w:val="18"/>
              </w:rPr>
              <w:t xml:space="preserve">}</w:t>
            </w:r>
          </w:p>
          <w:p>
            <w:pPr>
              <w:ind w:left="360"/>
            </w:pPr>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tc>
      </w:tr>
    </w:tbl>
    <w:p>
      <w:pPr>
        <w:pBdr>
          <w:bottom w:val="single" w:color="2E6DA4" w:sz="4" w:space="1"/>
        </w:pBdr>
        <w:spacing w:before="200" w:after="200"/>
      </w:pPr>
      <w:r>
        <w:t xml:space="preserve"/>
      </w:r>
    </w:p>
    <w:p>
      <w:pPr>
        <w:pStyle w:val="Heading1"/>
        <w:spacing w:before="360" w:after="180"/>
      </w:pPr>
      <w:r>
        <w:rPr>
          <w:rFonts w:ascii="Georgia" w:cs="Georgia" w:eastAsia="Georgia" w:hAnsi="Georgia"/>
          <w:b/>
          <w:bCs/>
          <w:color w:val="1B3A5C"/>
          <w:sz w:val="32"/>
          <w:szCs w:val="32"/>
        </w:rPr>
        <w:t xml:space="preserve">9. UX Wording Guide</w:t>
      </w:r>
    </w:p>
    <w:p>
      <w:pPr>
        <w:spacing w:before="60" w:after="100"/>
      </w:pPr>
      <w:r>
        <w:rPr>
          <w:rFonts w:ascii="Arial" w:cs="Arial" w:eastAsia="Arial" w:hAnsi="Arial"/>
          <w:sz w:val="20"/>
          <w:szCs w:val="20"/>
        </w:rPr>
        <w:t xml:space="preserve">The following guidelines govern language used in the user interface. Consistency in tone is critical to maintaining user trust and legal compliance.</w:t>
      </w:r>
    </w:p>
    <w:p>
      <w:r>
        <w:t xml:space="preserve"/>
      </w:r>
    </w:p>
    <w:p>
      <w:pPr>
        <w:pStyle w:val="Heading2"/>
        <w:spacing w:before="280" w:after="120"/>
      </w:pPr>
      <w:r>
        <w:rPr>
          <w:rFonts w:ascii="Georgia" w:cs="Georgia" w:eastAsia="Georgia" w:hAnsi="Georgia"/>
          <w:b/>
          <w:bCs/>
          <w:color w:val="2E6DA4"/>
          <w:sz w:val="26"/>
          <w:szCs w:val="26"/>
        </w:rPr>
        <w:t xml:space="preserve">9.1 General Principles</w:t>
      </w:r>
    </w:p>
    <w:p>
      <w:pPr>
        <w:pStyle w:val="ListParagraph"/>
        <w:numPr>
          <w:ilvl w:val="0"/>
          <w:numId w:val="2"/>
        </w:numPr>
        <w:spacing w:before="40" w:after="60"/>
      </w:pPr>
      <w:r>
        <w:rPr>
          <w:rFonts w:ascii="Arial" w:cs="Arial" w:eastAsia="Arial" w:hAnsi="Arial"/>
          <w:sz w:val="20"/>
          <w:szCs w:val="20"/>
        </w:rPr>
        <w:t xml:space="preserve">Never use clinical diagnostic terms in user-facing copy. Use ‘some responses suggest’ not ‘you have symptoms of’.</w:t>
      </w:r>
    </w:p>
    <w:p>
      <w:pPr>
        <w:pStyle w:val="ListParagraph"/>
        <w:numPr>
          <w:ilvl w:val="0"/>
          <w:numId w:val="2"/>
        </w:numPr>
        <w:spacing w:before="40" w:after="60"/>
      </w:pPr>
      <w:r>
        <w:rPr>
          <w:rFonts w:ascii="Arial" w:cs="Arial" w:eastAsia="Arial" w:hAnsi="Arial"/>
          <w:sz w:val="20"/>
          <w:szCs w:val="20"/>
        </w:rPr>
        <w:t xml:space="preserve">Always frame results as informational, not conclusive. Phrases like ‘worth discussing with a professional’ are preferred.</w:t>
      </w:r>
    </w:p>
    <w:p>
      <w:pPr>
        <w:pStyle w:val="ListParagraph"/>
        <w:numPr>
          <w:ilvl w:val="0"/>
          <w:numId w:val="2"/>
        </w:numPr>
        <w:spacing w:before="40" w:after="60"/>
      </w:pPr>
      <w:r>
        <w:rPr>
          <w:rFonts w:ascii="Arial" w:cs="Arial" w:eastAsia="Arial" w:hAnsi="Arial"/>
          <w:sz w:val="20"/>
          <w:szCs w:val="20"/>
        </w:rPr>
        <w:t xml:space="preserve">The word ‘screening’ should appear prominently. Never use the word ‘test’, ‘assessment’, or ‘diagnosis’ in result copy.</w:t>
      </w:r>
    </w:p>
    <w:p>
      <w:pPr>
        <w:pStyle w:val="ListParagraph"/>
        <w:numPr>
          <w:ilvl w:val="0"/>
          <w:numId w:val="2"/>
        </w:numPr>
        <w:spacing w:before="40" w:after="60"/>
      </w:pPr>
      <w:r>
        <w:rPr>
          <w:rFonts w:ascii="Arial" w:cs="Arial" w:eastAsia="Arial" w:hAnsi="Arial"/>
          <w:sz w:val="20"/>
          <w:szCs w:val="20"/>
        </w:rPr>
        <w:t xml:space="preserve">Crisis copy (Tier 4) must be clear, calm, and action-oriented. Avoid clinical or alarmist language.</w:t>
      </w:r>
    </w:p>
    <w:p>
      <w:r>
        <w:t xml:space="preserve"/>
      </w:r>
    </w:p>
    <w:p>
      <w:pPr>
        <w:pStyle w:val="Heading2"/>
        <w:spacing w:before="280" w:after="120"/>
      </w:pPr>
      <w:r>
        <w:rPr>
          <w:rFonts w:ascii="Georgia" w:cs="Georgia" w:eastAsia="Georgia" w:hAnsi="Georgia"/>
          <w:b/>
          <w:bCs/>
          <w:color w:val="2E6DA4"/>
          <w:sz w:val="26"/>
          <w:szCs w:val="26"/>
        </w:rPr>
        <w:t xml:space="preserve">9.2 Approved UX Copy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Context</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Approved Copy</w:t>
            </w:r>
          </w:p>
        </w:tc>
        <w:tc>
          <w:tcPr>
            <w:tcW w:type="dxa" w:w="3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7"/>
                <w:szCs w:val="17"/>
              </w:rPr>
              <w:t xml:space="preserve">Avoid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Result: Low</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Your responses did not indicate concerns in this area.</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You are fine. No issues detected.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Result: Monitor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Some of your responses are worth discussing with a healthcare professional.</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You may have a disorder. Please see a doctor.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Result: Elevated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Your responses suggest it would be beneficial to speak with a licensed healthcare provider.</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You tested positive for a condition.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Tier 4 Crisis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You’re not alone. Please reach out to a crisis line right now: call or text 988.</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This system detected a psychiatric emergency.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Module intro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This is a brief screening — not a diagnosis. There are no right or wrong answers.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Take this diagnostic assessment carefully.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Data use note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Your responses are stored anonymously for research purposes only.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Your data will be analysed by clinicians.</w:t>
            </w:r>
          </w:p>
        </w:tc>
      </w:tr>
    </w:tbl>
    <w:p>
      <w:pPr>
        <w:pBdr>
          <w:bottom w:val="single" w:color="2E6DA4" w:sz="4" w:space="1"/>
        </w:pBdr>
        <w:spacing w:before="200" w:after="200"/>
      </w:pPr>
      <w:r>
        <w:t xml:space="preserve"/>
      </w:r>
    </w:p>
    <w:p>
      <w:pPr>
        <w:pStyle w:val="Heading1"/>
        <w:spacing w:before="360" w:after="180"/>
      </w:pPr>
      <w:r>
        <w:rPr>
          <w:rFonts w:ascii="Georgia" w:cs="Georgia" w:eastAsia="Georgia" w:hAnsi="Georgia"/>
          <w:b/>
          <w:bCs/>
          <w:color w:val="1B3A5C"/>
          <w:sz w:val="32"/>
          <w:szCs w:val="32"/>
        </w:rPr>
        <w:t xml:space="preserve">10. Technical Implementation Checklist</w:t>
      </w:r>
    </w:p>
    <w:p>
      <w:pPr>
        <w:spacing w:before="60" w:after="100"/>
      </w:pPr>
      <w:r>
        <w:rPr>
          <w:rFonts w:ascii="Arial" w:cs="Arial" w:eastAsia="Arial" w:hAnsi="Arial"/>
          <w:sz w:val="20"/>
          <w:szCs w:val="20"/>
        </w:rPr>
        <w:t xml:space="preserve">The following checklist covers all required engineering tasks before the system can be deployed for educational or research use.</w:t>
      </w:r>
    </w:p>
    <w:p>
      <w:r>
        <w:t xml:space="preserve"/>
      </w:r>
    </w:p>
    <w:p>
      <w:pPr>
        <w:pStyle w:val="Heading2"/>
        <w:spacing w:before="280" w:after="120"/>
      </w:pPr>
      <w:r>
        <w:rPr>
          <w:rFonts w:ascii="Georgia" w:cs="Georgia" w:eastAsia="Georgia" w:hAnsi="Georgia"/>
          <w:b/>
          <w:bCs/>
          <w:color w:val="2E6DA4"/>
          <w:sz w:val="26"/>
          <w:szCs w:val="26"/>
        </w:rPr>
        <w:t xml:space="preserve">10.1 Frontend</w:t>
      </w:r>
    </w:p>
    <w:p>
      <w:pPr>
        <w:pStyle w:val="ListParagraph"/>
        <w:numPr>
          <w:ilvl w:val="0"/>
          <w:numId w:val="2"/>
        </w:numPr>
        <w:spacing w:before="40" w:after="60"/>
      </w:pPr>
      <w:r>
        <w:rPr>
          <w:rFonts w:ascii="Arial" w:cs="Arial" w:eastAsia="Arial" w:hAnsi="Arial"/>
          <w:sz w:val="20"/>
          <w:szCs w:val="20"/>
        </w:rPr>
        <w:t xml:space="preserve">Implement disclaimer screen with mandatory acknowledgement checkbox before any module begins.</w:t>
      </w:r>
    </w:p>
    <w:p>
      <w:pPr>
        <w:pStyle w:val="ListParagraph"/>
        <w:numPr>
          <w:ilvl w:val="0"/>
          <w:numId w:val="2"/>
        </w:numPr>
        <w:spacing w:before="40" w:after="60"/>
      </w:pPr>
      <w:r>
        <w:rPr>
          <w:rFonts w:ascii="Arial" w:cs="Arial" w:eastAsia="Arial" w:hAnsi="Arial"/>
          <w:sz w:val="20"/>
          <w:szCs w:val="20"/>
        </w:rPr>
        <w:t xml:space="preserve">Render Module A, B, and C as separate screens or sections with progress indicators.</w:t>
      </w:r>
    </w:p>
    <w:p>
      <w:pPr>
        <w:pStyle w:val="ListParagraph"/>
        <w:numPr>
          <w:ilvl w:val="0"/>
          <w:numId w:val="2"/>
        </w:numPr>
        <w:spacing w:before="40" w:after="60"/>
      </w:pPr>
      <w:r>
        <w:rPr>
          <w:rFonts w:ascii="Arial" w:cs="Arial" w:eastAsia="Arial" w:hAnsi="Arial"/>
          <w:sz w:val="20"/>
          <w:szCs w:val="20"/>
        </w:rPr>
        <w:t xml:space="preserve">Implement Tier 4 full-screen crisis interrupt: triggers on A1, A2, or A3 being answered Yes. Block all further navigation until crisis screen is acknowledged.</w:t>
      </w:r>
    </w:p>
    <w:p>
      <w:pPr>
        <w:pStyle w:val="ListParagraph"/>
        <w:numPr>
          <w:ilvl w:val="0"/>
          <w:numId w:val="2"/>
        </w:numPr>
        <w:spacing w:before="40" w:after="60"/>
      </w:pPr>
      <w:r>
        <w:rPr>
          <w:rFonts w:ascii="Arial" w:cs="Arial" w:eastAsia="Arial" w:hAnsi="Arial"/>
          <w:sz w:val="20"/>
          <w:szCs w:val="20"/>
        </w:rPr>
        <w:t xml:space="preserve">Display risk band results using approved UX copy only (see Section 9).</w:t>
      </w:r>
    </w:p>
    <w:p>
      <w:pPr>
        <w:pStyle w:val="ListParagraph"/>
        <w:numPr>
          <w:ilvl w:val="0"/>
          <w:numId w:val="2"/>
        </w:numPr>
        <w:spacing w:before="40" w:after="60"/>
      </w:pPr>
      <w:r>
        <w:rPr>
          <w:rFonts w:ascii="Arial" w:cs="Arial" w:eastAsia="Arial" w:hAnsi="Arial"/>
          <w:sz w:val="20"/>
          <w:szCs w:val="20"/>
        </w:rPr>
        <w:t xml:space="preserve">Mobile-first responsive layout. Ensure legibility at minimum 320px viewport width.</w:t>
      </w:r>
    </w:p>
    <w:p>
      <w:pPr>
        <w:pStyle w:val="ListParagraph"/>
        <w:numPr>
          <w:ilvl w:val="0"/>
          <w:numId w:val="2"/>
        </w:numPr>
        <w:spacing w:before="40" w:after="60"/>
      </w:pPr>
      <w:r>
        <w:rPr>
          <w:rFonts w:ascii="Arial" w:cs="Arial" w:eastAsia="Arial" w:hAnsi="Arial"/>
          <w:sz w:val="20"/>
          <w:szCs w:val="20"/>
        </w:rPr>
        <w:t xml:space="preserve">Accessibility: WCAG 2.1 AA compliance minimum. All questions must be screen-reader compatible.</w:t>
      </w:r>
    </w:p>
    <w:p>
      <w:r>
        <w:t xml:space="preserve"/>
      </w:r>
    </w:p>
    <w:p>
      <w:pPr>
        <w:pStyle w:val="Heading2"/>
        <w:spacing w:before="280" w:after="120"/>
      </w:pPr>
      <w:r>
        <w:rPr>
          <w:rFonts w:ascii="Georgia" w:cs="Georgia" w:eastAsia="Georgia" w:hAnsi="Georgia"/>
          <w:b/>
          <w:bCs/>
          <w:color w:val="2E6DA4"/>
          <w:sz w:val="26"/>
          <w:szCs w:val="26"/>
        </w:rPr>
        <w:t xml:space="preserve">10.2 Backend &amp; API</w:t>
      </w:r>
    </w:p>
    <w:p>
      <w:pPr>
        <w:pStyle w:val="ListParagraph"/>
        <w:numPr>
          <w:ilvl w:val="0"/>
          <w:numId w:val="2"/>
        </w:numPr>
        <w:spacing w:before="40" w:after="60"/>
      </w:pPr>
      <w:r>
        <w:rPr>
          <w:rFonts w:ascii="Arial" w:cs="Arial" w:eastAsia="Arial" w:hAnsi="Arial"/>
          <w:sz w:val="20"/>
          <w:szCs w:val="20"/>
        </w:rPr>
        <w:t xml:space="preserve">Implement session endpoint: POST /api/screening/session returns session_id and timestamps.</w:t>
      </w:r>
    </w:p>
    <w:p>
      <w:pPr>
        <w:pStyle w:val="ListParagraph"/>
        <w:numPr>
          <w:ilvl w:val="0"/>
          <w:numId w:val="2"/>
        </w:numPr>
        <w:spacing w:before="40" w:after="60"/>
      </w:pPr>
      <w:r>
        <w:rPr>
          <w:rFonts w:ascii="Arial" w:cs="Arial" w:eastAsia="Arial" w:hAnsi="Arial"/>
          <w:sz w:val="20"/>
          <w:szCs w:val="20"/>
        </w:rPr>
        <w:t xml:space="preserve">Implement response submission: POST /api/screening/session/{id}/responses accepts module response payloads.</w:t>
      </w:r>
    </w:p>
    <w:p>
      <w:pPr>
        <w:pStyle w:val="ListParagraph"/>
        <w:numPr>
          <w:ilvl w:val="0"/>
          <w:numId w:val="2"/>
        </w:numPr>
        <w:spacing w:before="40" w:after="60"/>
      </w:pPr>
      <w:r>
        <w:rPr>
          <w:rFonts w:ascii="Arial" w:cs="Arial" w:eastAsia="Arial" w:hAnsi="Arial"/>
          <w:sz w:val="20"/>
          <w:szCs w:val="20"/>
        </w:rPr>
        <w:t xml:space="preserve">Server-side scoring: apply scoring logic and risk banding on the server, never expose raw scoring logic to the client.</w:t>
      </w:r>
    </w:p>
    <w:p>
      <w:pPr>
        <w:pStyle w:val="ListParagraph"/>
        <w:numPr>
          <w:ilvl w:val="0"/>
          <w:numId w:val="2"/>
        </w:numPr>
        <w:spacing w:before="40" w:after="60"/>
      </w:pPr>
      <w:r>
        <w:rPr>
          <w:rFonts w:ascii="Arial" w:cs="Arial" w:eastAsia="Arial" w:hAnsi="Arial"/>
          <w:sz w:val="20"/>
          <w:szCs w:val="20"/>
        </w:rPr>
        <w:t xml:space="preserve">Implement escalation tier calculation as a service function, unit-tested against all boundary cases.</w:t>
      </w:r>
    </w:p>
    <w:p>
      <w:pPr>
        <w:pStyle w:val="ListParagraph"/>
        <w:numPr>
          <w:ilvl w:val="0"/>
          <w:numId w:val="2"/>
        </w:numPr>
        <w:spacing w:before="40" w:after="60"/>
      </w:pPr>
      <w:r>
        <w:rPr>
          <w:rFonts w:ascii="Arial" w:cs="Arial" w:eastAsia="Arial" w:hAnsi="Arial"/>
          <w:sz w:val="20"/>
          <w:szCs w:val="20"/>
        </w:rPr>
        <w:t xml:space="preserve">Store all sessions in the schema defined in Section 8. Include disclaimer_acknowledged field; reject sessions where this is false.</w:t>
      </w:r>
    </w:p>
    <w:p>
      <w:pPr>
        <w:pStyle w:val="ListParagraph"/>
        <w:numPr>
          <w:ilvl w:val="0"/>
          <w:numId w:val="2"/>
        </w:numPr>
        <w:spacing w:before="40" w:after="60"/>
      </w:pPr>
      <w:r>
        <w:rPr>
          <w:rFonts w:ascii="Arial" w:cs="Arial" w:eastAsia="Arial" w:hAnsi="Arial"/>
          <w:sz w:val="20"/>
          <w:szCs w:val="20"/>
        </w:rPr>
        <w:t xml:space="preserve">Log Tier 4 events separately with timestamp and session_id for safeguarding review.</w:t>
      </w:r>
    </w:p>
    <w:p>
      <w:r>
        <w:t xml:space="preserve"/>
      </w:r>
    </w:p>
    <w:p>
      <w:pPr>
        <w:pStyle w:val="Heading2"/>
        <w:spacing w:before="280" w:after="120"/>
      </w:pPr>
      <w:r>
        <w:rPr>
          <w:rFonts w:ascii="Georgia" w:cs="Georgia" w:eastAsia="Georgia" w:hAnsi="Georgia"/>
          <w:b/>
          <w:bCs/>
          <w:color w:val="2E6DA4"/>
          <w:sz w:val="26"/>
          <w:szCs w:val="26"/>
        </w:rPr>
        <w:t xml:space="preserve">10.3 Data &amp; Privacy</w:t>
      </w:r>
    </w:p>
    <w:p>
      <w:pPr>
        <w:pStyle w:val="ListParagraph"/>
        <w:numPr>
          <w:ilvl w:val="0"/>
          <w:numId w:val="2"/>
        </w:numPr>
        <w:spacing w:before="40" w:after="60"/>
      </w:pPr>
      <w:r>
        <w:rPr>
          <w:rFonts w:ascii="Arial" w:cs="Arial" w:eastAsia="Arial" w:hAnsi="Arial"/>
          <w:sz w:val="20"/>
          <w:szCs w:val="20"/>
        </w:rPr>
        <w:t xml:space="preserve">Do not collect personally identifiable information unless explicitly consented. Anonymise by default.</w:t>
      </w:r>
    </w:p>
    <w:p>
      <w:pPr>
        <w:pStyle w:val="ListParagraph"/>
        <w:numPr>
          <w:ilvl w:val="0"/>
          <w:numId w:val="2"/>
        </w:numPr>
        <w:spacing w:before="40" w:after="60"/>
      </w:pPr>
      <w:r>
        <w:rPr>
          <w:rFonts w:ascii="Arial" w:cs="Arial" w:eastAsia="Arial" w:hAnsi="Arial"/>
          <w:sz w:val="20"/>
          <w:szCs w:val="20"/>
        </w:rPr>
        <w:t xml:space="preserve">Research data exports must strip any identifiers before transmission.</w:t>
      </w:r>
    </w:p>
    <w:p>
      <w:pPr>
        <w:pStyle w:val="ListParagraph"/>
        <w:numPr>
          <w:ilvl w:val="0"/>
          <w:numId w:val="2"/>
        </w:numPr>
        <w:spacing w:before="40" w:after="60"/>
      </w:pPr>
      <w:r>
        <w:rPr>
          <w:rFonts w:ascii="Arial" w:cs="Arial" w:eastAsia="Arial" w:hAnsi="Arial"/>
          <w:sz w:val="20"/>
          <w:szCs w:val="20"/>
        </w:rPr>
        <w:t xml:space="preserve">Retain session data in accordance with your institutional review board (IRB) or ethics board data retention policy.</w:t>
      </w:r>
    </w:p>
    <w:p>
      <w:pPr>
        <w:pStyle w:val="ListParagraph"/>
        <w:numPr>
          <w:ilvl w:val="0"/>
          <w:numId w:val="2"/>
        </w:numPr>
        <w:spacing w:before="40" w:after="60"/>
      </w:pPr>
      <w:r>
        <w:rPr>
          <w:rFonts w:ascii="Arial" w:cs="Arial" w:eastAsia="Arial" w:hAnsi="Arial"/>
          <w:sz w:val="20"/>
          <w:szCs w:val="20"/>
        </w:rPr>
        <w:t xml:space="preserve">Implement data deletion endpoint for user-requested erasure: DELETE /api/screening/session/{id}.</w:t>
      </w:r>
    </w:p>
    <w:p>
      <w:r>
        <w:t xml:space="preserve"/>
      </w:r>
    </w:p>
    <w:p>
      <w:pPr>
        <w:pStyle w:val="Heading2"/>
        <w:spacing w:before="280" w:after="120"/>
      </w:pPr>
      <w:r>
        <w:rPr>
          <w:rFonts w:ascii="Georgia" w:cs="Georgia" w:eastAsia="Georgia" w:hAnsi="Georgia"/>
          <w:b/>
          <w:bCs/>
          <w:color w:val="2E6DA4"/>
          <w:sz w:val="26"/>
          <w:szCs w:val="26"/>
        </w:rPr>
        <w:t xml:space="preserve">10.4 Legal &amp; Governance</w:t>
      </w:r>
    </w:p>
    <w:p>
      <w:pPr>
        <w:pStyle w:val="ListParagraph"/>
        <w:numPr>
          <w:ilvl w:val="0"/>
          <w:numId w:val="2"/>
        </w:numPr>
        <w:spacing w:before="40" w:after="60"/>
      </w:pPr>
      <w:r>
        <w:rPr>
          <w:rFonts w:ascii="Arial" w:cs="Arial" w:eastAsia="Arial" w:hAnsi="Arial"/>
          <w:sz w:val="20"/>
          <w:szCs w:val="20"/>
        </w:rPr>
        <w:t xml:space="preserve">Obtain IRB or ethics committee approval before collecting research data from real participants.</w:t>
      </w:r>
    </w:p>
    <w:p>
      <w:pPr>
        <w:pStyle w:val="ListParagraph"/>
        <w:numPr>
          <w:ilvl w:val="0"/>
          <w:numId w:val="2"/>
        </w:numPr>
        <w:spacing w:before="40" w:after="60"/>
      </w:pPr>
      <w:r>
        <w:rPr>
          <w:rFonts w:ascii="Arial" w:cs="Arial" w:eastAsia="Arial" w:hAnsi="Arial"/>
          <w:sz w:val="20"/>
          <w:szCs w:val="20"/>
        </w:rPr>
        <w:t xml:space="preserve">Review all question content with a licensed mental health professional before deployment.</w:t>
      </w:r>
    </w:p>
    <w:p>
      <w:pPr>
        <w:pStyle w:val="ListParagraph"/>
        <w:numPr>
          <w:ilvl w:val="0"/>
          <w:numId w:val="2"/>
        </w:numPr>
        <w:spacing w:before="40" w:after="60"/>
      </w:pPr>
      <w:r>
        <w:rPr>
          <w:rFonts w:ascii="Arial" w:cs="Arial" w:eastAsia="Arial" w:hAnsi="Arial"/>
          <w:sz w:val="20"/>
          <w:szCs w:val="20"/>
        </w:rPr>
        <w:t xml:space="preserve">Do not deploy as a clinical tool without appropriate regulatory review (e.g. FDA, CE marking depending on jurisdiction).</w:t>
      </w:r>
    </w:p>
    <w:p>
      <w:pPr>
        <w:pStyle w:val="ListParagraph"/>
        <w:numPr>
          <w:ilvl w:val="0"/>
          <w:numId w:val="2"/>
        </w:numPr>
        <w:spacing w:before="40" w:after="60"/>
      </w:pPr>
      <w:r>
        <w:rPr>
          <w:rFonts w:ascii="Arial" w:cs="Arial" w:eastAsia="Arial" w:hAnsi="Arial"/>
          <w:sz w:val="20"/>
          <w:szCs w:val="20"/>
        </w:rPr>
        <w:t xml:space="preserve">Verify that no reference instrument questions have been reproduced verbatim in the final build. Conduct a final compliance review against Section 2 of this document.</w:t>
      </w:r>
    </w:p>
    <w:p>
      <w:pPr>
        <w:pBdr>
          <w:bottom w:val="single" w:color="2E6DA4" w:sz="4" w:space="1"/>
        </w:pBdr>
        <w:spacing w:before="200" w:after="200"/>
      </w:pPr>
      <w:r>
        <w:t xml:space="preserve"/>
      </w:r>
    </w:p>
    <w:p>
      <w:pPr>
        <w:pStyle w:val="Heading1"/>
        <w:spacing w:before="360" w:after="180"/>
      </w:pPr>
      <w:r>
        <w:rPr>
          <w:rFonts w:ascii="Georgia" w:cs="Georgia" w:eastAsia="Georgia" w:hAnsi="Georgia"/>
          <w:b/>
          <w:bCs/>
          <w:color w:val="1B3A5C"/>
          <w:sz w:val="32"/>
          <w:szCs w:val="32"/>
        </w:rPr>
        <w:t xml:space="preserve">Appendix — Complete Question Quick Reference</w:t>
      </w:r>
    </w:p>
    <w:p>
      <w:pPr>
        <w:pStyle w:val="Heading2"/>
        <w:spacing w:before="280" w:after="120"/>
      </w:pPr>
      <w:r>
        <w:rPr>
          <w:rFonts w:ascii="Georgia" w:cs="Georgia" w:eastAsia="Georgia" w:hAnsi="Georgia"/>
          <w:b/>
          <w:bCs/>
          <w:color w:val="2E6DA4"/>
          <w:sz w:val="26"/>
          <w:szCs w:val="26"/>
        </w:rPr>
        <w:t xml:space="preserve">Module A: Severe Psychiatric Risk (11 items, Yes/No)</w:t>
      </w:r>
    </w:p>
    <w:p>
      <w:pPr>
        <w:pStyle w:val="ListParagraph"/>
        <w:numPr>
          <w:ilvl w:val="0"/>
          <w:numId w:val="2"/>
        </w:numPr>
        <w:spacing w:before="40" w:after="60"/>
      </w:pPr>
      <w:r>
        <w:rPr>
          <w:rFonts w:ascii="Arial" w:cs="Arial" w:eastAsia="Arial" w:hAnsi="Arial"/>
          <w:sz w:val="20"/>
          <w:szCs w:val="20"/>
        </w:rPr>
        <w:t xml:space="preserve">A1: Thoughts of being better off not alive (passive ideation domain)</w:t>
      </w:r>
    </w:p>
    <w:p>
      <w:pPr>
        <w:pStyle w:val="ListParagraph"/>
        <w:numPr>
          <w:ilvl w:val="0"/>
          <w:numId w:val="2"/>
        </w:numPr>
        <w:spacing w:before="40" w:after="60"/>
      </w:pPr>
      <w:r>
        <w:rPr>
          <w:rFonts w:ascii="Arial" w:cs="Arial" w:eastAsia="Arial" w:hAnsi="Arial"/>
          <w:sz w:val="20"/>
          <w:szCs w:val="20"/>
        </w:rPr>
        <w:t xml:space="preserve">A2: Thoughts of ending one’s life (active ideation domain)</w:t>
      </w:r>
    </w:p>
    <w:p>
      <w:pPr>
        <w:pStyle w:val="ListParagraph"/>
        <w:numPr>
          <w:ilvl w:val="0"/>
          <w:numId w:val="2"/>
        </w:numPr>
        <w:spacing w:before="40" w:after="60"/>
      </w:pPr>
      <w:r>
        <w:rPr>
          <w:rFonts w:ascii="Arial" w:cs="Arial" w:eastAsia="Arial" w:hAnsi="Arial"/>
          <w:sz w:val="20"/>
          <w:szCs w:val="20"/>
        </w:rPr>
        <w:t xml:space="preserve">A3: Steps toward acting on those thoughts (intent/planning domain)</w:t>
      </w:r>
    </w:p>
    <w:p>
      <w:pPr>
        <w:pStyle w:val="ListParagraph"/>
        <w:numPr>
          <w:ilvl w:val="0"/>
          <w:numId w:val="2"/>
        </w:numPr>
        <w:spacing w:before="40" w:after="60"/>
      </w:pPr>
      <w:r>
        <w:rPr>
          <w:rFonts w:ascii="Arial" w:cs="Arial" w:eastAsia="Arial" w:hAnsi="Arial"/>
          <w:sz w:val="20"/>
          <w:szCs w:val="20"/>
        </w:rPr>
        <w:t xml:space="preserve">A4: Hearing sounds/voices others did not hear (auditory perception domain)</w:t>
      </w:r>
    </w:p>
    <w:p>
      <w:pPr>
        <w:pStyle w:val="ListParagraph"/>
        <w:numPr>
          <w:ilvl w:val="0"/>
          <w:numId w:val="2"/>
        </w:numPr>
        <w:spacing w:before="40" w:after="60"/>
      </w:pPr>
      <w:r>
        <w:rPr>
          <w:rFonts w:ascii="Arial" w:cs="Arial" w:eastAsia="Arial" w:hAnsi="Arial"/>
          <w:sz w:val="20"/>
          <w:szCs w:val="20"/>
        </w:rPr>
        <w:t xml:space="preserve">A5: Seeing unusual things others did not notice (visual perception domain)</w:t>
      </w:r>
    </w:p>
    <w:p>
      <w:pPr>
        <w:pStyle w:val="ListParagraph"/>
        <w:numPr>
          <w:ilvl w:val="0"/>
          <w:numId w:val="2"/>
        </w:numPr>
        <w:spacing w:before="40" w:after="60"/>
      </w:pPr>
      <w:r>
        <w:rPr>
          <w:rFonts w:ascii="Arial" w:cs="Arial" w:eastAsia="Arial" w:hAnsi="Arial"/>
          <w:sz w:val="20"/>
          <w:szCs w:val="20"/>
        </w:rPr>
        <w:t xml:space="preserve">A6: Sense that something important is happening unnoticed by others (ideas of reference domain)</w:t>
      </w:r>
    </w:p>
    <w:p>
      <w:pPr>
        <w:pStyle w:val="ListParagraph"/>
        <w:numPr>
          <w:ilvl w:val="0"/>
          <w:numId w:val="2"/>
        </w:numPr>
        <w:spacing w:before="40" w:after="60"/>
      </w:pPr>
      <w:r>
        <w:rPr>
          <w:rFonts w:ascii="Arial" w:cs="Arial" w:eastAsia="Arial" w:hAnsi="Arial"/>
          <w:sz w:val="20"/>
          <w:szCs w:val="20"/>
        </w:rPr>
        <w:t xml:space="preserve">A7: Feeling thoughts could be heard by others (thought broadcast domain)</w:t>
      </w:r>
    </w:p>
    <w:p>
      <w:pPr>
        <w:pStyle w:val="ListParagraph"/>
        <w:numPr>
          <w:ilvl w:val="0"/>
          <w:numId w:val="2"/>
        </w:numPr>
        <w:spacing w:before="40" w:after="60"/>
      </w:pPr>
      <w:r>
        <w:rPr>
          <w:rFonts w:ascii="Arial" w:cs="Arial" w:eastAsia="Arial" w:hAnsi="Arial"/>
          <w:sz w:val="20"/>
          <w:szCs w:val="20"/>
        </w:rPr>
        <w:t xml:space="preserve">A8: Unusually high energy with reduced need for sleep (energy/sleep domain)</w:t>
      </w:r>
    </w:p>
    <w:p>
      <w:pPr>
        <w:pStyle w:val="ListParagraph"/>
        <w:numPr>
          <w:ilvl w:val="0"/>
          <w:numId w:val="2"/>
        </w:numPr>
        <w:spacing w:before="40" w:after="60"/>
      </w:pPr>
      <w:r>
        <w:rPr>
          <w:rFonts w:ascii="Arial" w:cs="Arial" w:eastAsia="Arial" w:hAnsi="Arial"/>
          <w:sz w:val="20"/>
          <w:szCs w:val="20"/>
        </w:rPr>
        <w:t xml:space="preserve">A9: Racing thoughts hard to keep up with (thought speed domain)</w:t>
      </w:r>
    </w:p>
    <w:p>
      <w:pPr>
        <w:pStyle w:val="ListParagraph"/>
        <w:numPr>
          <w:ilvl w:val="0"/>
          <w:numId w:val="2"/>
        </w:numPr>
        <w:spacing w:before="40" w:after="60"/>
      </w:pPr>
      <w:r>
        <w:rPr>
          <w:rFonts w:ascii="Arial" w:cs="Arial" w:eastAsia="Arial" w:hAnsi="Arial"/>
          <w:sz w:val="20"/>
          <w:szCs w:val="20"/>
        </w:rPr>
        <w:t xml:space="preserve">A10: Feedback from others about unusual excitement or irritability (behavioural observation domain)</w:t>
      </w:r>
    </w:p>
    <w:p>
      <w:pPr>
        <w:pStyle w:val="ListParagraph"/>
        <w:numPr>
          <w:ilvl w:val="0"/>
          <w:numId w:val="2"/>
        </w:numPr>
        <w:spacing w:before="40" w:after="60"/>
      </w:pPr>
      <w:r>
        <w:rPr>
          <w:rFonts w:ascii="Arial" w:cs="Arial" w:eastAsia="Arial" w:hAnsi="Arial"/>
          <w:sz w:val="20"/>
          <w:szCs w:val="20"/>
        </w:rPr>
        <w:t xml:space="preserve">A11: Unusually urgent goal-directed activity out of character (goal-directed activity domain)</w:t>
      </w:r>
    </w:p>
    <w:p>
      <w:r>
        <w:t xml:space="preserve"/>
      </w:r>
    </w:p>
    <w:p>
      <w:pPr>
        <w:pStyle w:val="Heading2"/>
        <w:spacing w:before="280" w:after="120"/>
      </w:pPr>
      <w:r>
        <w:rPr>
          <w:rFonts w:ascii="Georgia" w:cs="Georgia" w:eastAsia="Georgia" w:hAnsi="Georgia"/>
          <w:b/>
          <w:bCs/>
          <w:color w:val="2E6DA4"/>
          <w:sz w:val="26"/>
          <w:szCs w:val="26"/>
        </w:rPr>
        <w:t xml:space="preserve">Module B: Mood &amp; Behavioral Instability (11 items, Likert 0–4)</w:t>
      </w:r>
    </w:p>
    <w:p>
      <w:pPr>
        <w:pStyle w:val="ListParagraph"/>
        <w:numPr>
          <w:ilvl w:val="0"/>
          <w:numId w:val="2"/>
        </w:numPr>
        <w:spacing w:before="40" w:after="60"/>
      </w:pPr>
      <w:r>
        <w:rPr>
          <w:rFonts w:ascii="Arial" w:cs="Arial" w:eastAsia="Arial" w:hAnsi="Arial"/>
          <w:sz w:val="20"/>
          <w:szCs w:val="20"/>
        </w:rPr>
        <w:t xml:space="preserve">B1: Elevated mood periods, different from normal self</w:t>
      </w:r>
    </w:p>
    <w:p>
      <w:pPr>
        <w:pStyle w:val="ListParagraph"/>
        <w:numPr>
          <w:ilvl w:val="0"/>
          <w:numId w:val="2"/>
        </w:numPr>
        <w:spacing w:before="40" w:after="60"/>
      </w:pPr>
      <w:r>
        <w:rPr>
          <w:rFonts w:ascii="Arial" w:cs="Arial" w:eastAsia="Arial" w:hAnsi="Arial"/>
          <w:sz w:val="20"/>
          <w:szCs w:val="20"/>
        </w:rPr>
        <w:t xml:space="preserve">B2: Persistent low mood periods</w:t>
      </w:r>
    </w:p>
    <w:p>
      <w:pPr>
        <w:pStyle w:val="ListParagraph"/>
        <w:numPr>
          <w:ilvl w:val="0"/>
          <w:numId w:val="2"/>
        </w:numPr>
        <w:spacing w:before="40" w:after="60"/>
      </w:pPr>
      <w:r>
        <w:rPr>
          <w:rFonts w:ascii="Arial" w:cs="Arial" w:eastAsia="Arial" w:hAnsi="Arial"/>
          <w:sz w:val="20"/>
          <w:szCs w:val="20"/>
        </w:rPr>
        <w:t xml:space="preserve">B3: Alternating high and low periods within short timeframes</w:t>
      </w:r>
    </w:p>
    <w:p>
      <w:pPr>
        <w:pStyle w:val="ListParagraph"/>
        <w:numPr>
          <w:ilvl w:val="0"/>
          <w:numId w:val="2"/>
        </w:numPr>
        <w:spacing w:before="40" w:after="60"/>
      </w:pPr>
      <w:r>
        <w:rPr>
          <w:rFonts w:ascii="Arial" w:cs="Arial" w:eastAsia="Arial" w:hAnsi="Arial"/>
          <w:sz w:val="20"/>
          <w:szCs w:val="20"/>
        </w:rPr>
        <w:t xml:space="preserve">B4: Intense or disproportionate irritability</w:t>
      </w:r>
    </w:p>
    <w:p>
      <w:pPr>
        <w:pStyle w:val="ListParagraph"/>
        <w:numPr>
          <w:ilvl w:val="0"/>
          <w:numId w:val="2"/>
        </w:numPr>
        <w:spacing w:before="40" w:after="60"/>
      </w:pPr>
      <w:r>
        <w:rPr>
          <w:rFonts w:ascii="Arial" w:cs="Arial" w:eastAsia="Arial" w:hAnsi="Arial"/>
          <w:sz w:val="20"/>
          <w:szCs w:val="20"/>
        </w:rPr>
        <w:t xml:space="preserve">B5: Impulsive actions later regretted</w:t>
      </w:r>
    </w:p>
    <w:p>
      <w:pPr>
        <w:pStyle w:val="ListParagraph"/>
        <w:numPr>
          <w:ilvl w:val="0"/>
          <w:numId w:val="2"/>
        </w:numPr>
        <w:spacing w:before="40" w:after="60"/>
      </w:pPr>
      <w:r>
        <w:rPr>
          <w:rFonts w:ascii="Arial" w:cs="Arial" w:eastAsia="Arial" w:hAnsi="Arial"/>
          <w:sz w:val="20"/>
          <w:szCs w:val="20"/>
        </w:rPr>
        <w:t xml:space="preserve">B6: Heightened drive to start projects or pursue goals</w:t>
      </w:r>
    </w:p>
    <w:p>
      <w:pPr>
        <w:pStyle w:val="ListParagraph"/>
        <w:numPr>
          <w:ilvl w:val="0"/>
          <w:numId w:val="2"/>
        </w:numPr>
        <w:spacing w:before="40" w:after="60"/>
      </w:pPr>
      <w:r>
        <w:rPr>
          <w:rFonts w:ascii="Arial" w:cs="Arial" w:eastAsia="Arial" w:hAnsi="Arial"/>
          <w:sz w:val="20"/>
          <w:szCs w:val="20"/>
        </w:rPr>
        <w:t xml:space="preserve">B7: Significant changes in sleep pattern</w:t>
      </w:r>
    </w:p>
    <w:p>
      <w:pPr>
        <w:pStyle w:val="ListParagraph"/>
        <w:numPr>
          <w:ilvl w:val="0"/>
          <w:numId w:val="2"/>
        </w:numPr>
        <w:spacing w:before="40" w:after="60"/>
      </w:pPr>
      <w:r>
        <w:rPr>
          <w:rFonts w:ascii="Arial" w:cs="Arial" w:eastAsia="Arial" w:hAnsi="Arial"/>
          <w:sz w:val="20"/>
          <w:szCs w:val="20"/>
        </w:rPr>
        <w:t xml:space="preserve">B8: Mood changes affecting work, relationships, or responsibilities</w:t>
      </w:r>
    </w:p>
    <w:p>
      <w:pPr>
        <w:pStyle w:val="ListParagraph"/>
        <w:numPr>
          <w:ilvl w:val="0"/>
          <w:numId w:val="2"/>
        </w:numPr>
        <w:spacing w:before="40" w:after="60"/>
      </w:pPr>
      <w:r>
        <w:rPr>
          <w:rFonts w:ascii="Arial" w:cs="Arial" w:eastAsia="Arial" w:hAnsi="Arial"/>
          <w:sz w:val="20"/>
          <w:szCs w:val="20"/>
        </w:rPr>
        <w:t xml:space="preserve">B9: Faster-than-usual thoughts or speech</w:t>
      </w:r>
    </w:p>
    <w:p>
      <w:pPr>
        <w:pStyle w:val="ListParagraph"/>
        <w:numPr>
          <w:ilvl w:val="0"/>
          <w:numId w:val="2"/>
        </w:numPr>
        <w:spacing w:before="40" w:after="60"/>
      </w:pPr>
      <w:r>
        <w:rPr>
          <w:rFonts w:ascii="Arial" w:cs="Arial" w:eastAsia="Arial" w:hAnsi="Arial"/>
          <w:sz w:val="20"/>
          <w:szCs w:val="20"/>
        </w:rPr>
        <w:t xml:space="preserve">B10: Elevated sense of self-importance or special ability</w:t>
      </w:r>
    </w:p>
    <w:p>
      <w:pPr>
        <w:pStyle w:val="ListParagraph"/>
        <w:numPr>
          <w:ilvl w:val="0"/>
          <w:numId w:val="2"/>
        </w:numPr>
        <w:spacing w:before="40" w:after="60"/>
      </w:pPr>
      <w:r>
        <w:rPr>
          <w:rFonts w:ascii="Arial" w:cs="Arial" w:eastAsia="Arial" w:hAnsi="Arial"/>
          <w:sz w:val="20"/>
          <w:szCs w:val="20"/>
        </w:rPr>
        <w:t xml:space="preserve">B11: Rapid intra-day mood shifts without obvious cause</w:t>
      </w:r>
    </w:p>
    <w:p>
      <w:r>
        <w:t xml:space="preserve"/>
      </w:r>
    </w:p>
    <w:p>
      <w:pPr>
        <w:pStyle w:val="Heading2"/>
        <w:spacing w:before="280" w:after="120"/>
      </w:pPr>
      <w:r>
        <w:rPr>
          <w:rFonts w:ascii="Georgia" w:cs="Georgia" w:eastAsia="Georgia" w:hAnsi="Georgia"/>
          <w:b/>
          <w:bCs/>
          <w:color w:val="2E6DA4"/>
          <w:sz w:val="26"/>
          <w:szCs w:val="26"/>
        </w:rPr>
        <w:t xml:space="preserve">Module C: Cognitive Decline Early Detection (12 self-report + 5 informant, Yes/No)</w:t>
      </w:r>
    </w:p>
    <w:p>
      <w:pPr>
        <w:pStyle w:val="ListParagraph"/>
        <w:numPr>
          <w:ilvl w:val="0"/>
          <w:numId w:val="2"/>
        </w:numPr>
        <w:spacing w:before="40" w:after="60"/>
      </w:pPr>
      <w:r>
        <w:rPr>
          <w:rFonts w:ascii="Arial" w:cs="Arial" w:eastAsia="Arial" w:hAnsi="Arial"/>
          <w:sz w:val="20"/>
          <w:szCs w:val="20"/>
        </w:rPr>
        <w:t xml:space="preserve">C1: More difficulty remembering recent events than usual</w:t>
      </w:r>
    </w:p>
    <w:p>
      <w:pPr>
        <w:pStyle w:val="ListParagraph"/>
        <w:numPr>
          <w:ilvl w:val="0"/>
          <w:numId w:val="2"/>
        </w:numPr>
        <w:spacing w:before="40" w:after="60"/>
      </w:pPr>
      <w:r>
        <w:rPr>
          <w:rFonts w:ascii="Arial" w:cs="Arial" w:eastAsia="Arial" w:hAnsi="Arial"/>
          <w:sz w:val="20"/>
          <w:szCs w:val="20"/>
        </w:rPr>
        <w:t xml:space="preserve">C2: Harder to recall names of people known well</w:t>
      </w:r>
    </w:p>
    <w:p>
      <w:pPr>
        <w:pStyle w:val="ListParagraph"/>
        <w:numPr>
          <w:ilvl w:val="0"/>
          <w:numId w:val="2"/>
        </w:numPr>
        <w:spacing w:before="40" w:after="60"/>
      </w:pPr>
      <w:r>
        <w:rPr>
          <w:rFonts w:ascii="Arial" w:cs="Arial" w:eastAsia="Arial" w:hAnsi="Arial"/>
          <w:sz w:val="20"/>
          <w:szCs w:val="20"/>
        </w:rPr>
        <w:t xml:space="preserve">C3: Trouble remembering appointments or planned tasks</w:t>
      </w:r>
    </w:p>
    <w:p>
      <w:pPr>
        <w:pStyle w:val="ListParagraph"/>
        <w:numPr>
          <w:ilvl w:val="0"/>
          <w:numId w:val="2"/>
        </w:numPr>
        <w:spacing w:before="40" w:after="60"/>
      </w:pPr>
      <w:r>
        <w:rPr>
          <w:rFonts w:ascii="Arial" w:cs="Arial" w:eastAsia="Arial" w:hAnsi="Arial"/>
          <w:sz w:val="20"/>
          <w:szCs w:val="20"/>
        </w:rPr>
        <w:t xml:space="preserve">C4: Losing track of day, month, or year</w:t>
      </w:r>
    </w:p>
    <w:p>
      <w:pPr>
        <w:pStyle w:val="ListParagraph"/>
        <w:numPr>
          <w:ilvl w:val="0"/>
          <w:numId w:val="2"/>
        </w:numPr>
        <w:spacing w:before="40" w:after="60"/>
      </w:pPr>
      <w:r>
        <w:rPr>
          <w:rFonts w:ascii="Arial" w:cs="Arial" w:eastAsia="Arial" w:hAnsi="Arial"/>
          <w:sz w:val="20"/>
          <w:szCs w:val="20"/>
        </w:rPr>
        <w:t xml:space="preserve">C5: More effort needed for everyday practical tasks</w:t>
      </w:r>
    </w:p>
    <w:p>
      <w:pPr>
        <w:pStyle w:val="ListParagraph"/>
        <w:numPr>
          <w:ilvl w:val="0"/>
          <w:numId w:val="2"/>
        </w:numPr>
        <w:spacing w:before="40" w:after="60"/>
      </w:pPr>
      <w:r>
        <w:rPr>
          <w:rFonts w:ascii="Arial" w:cs="Arial" w:eastAsia="Arial" w:hAnsi="Arial"/>
          <w:sz w:val="20"/>
          <w:szCs w:val="20"/>
        </w:rPr>
        <w:t xml:space="preserve">C6: Harder to follow conversations or written content</w:t>
      </w:r>
    </w:p>
    <w:p>
      <w:pPr>
        <w:pStyle w:val="ListParagraph"/>
        <w:numPr>
          <w:ilvl w:val="0"/>
          <w:numId w:val="2"/>
        </w:numPr>
        <w:spacing w:before="40" w:after="60"/>
      </w:pPr>
      <w:r>
        <w:rPr>
          <w:rFonts w:ascii="Arial" w:cs="Arial" w:eastAsia="Arial" w:hAnsi="Arial"/>
          <w:sz w:val="20"/>
          <w:szCs w:val="20"/>
        </w:rPr>
        <w:t xml:space="preserve">C7: Difficulty finding the right word when speaking</w:t>
      </w:r>
    </w:p>
    <w:p>
      <w:pPr>
        <w:pStyle w:val="ListParagraph"/>
        <w:numPr>
          <w:ilvl w:val="0"/>
          <w:numId w:val="2"/>
        </w:numPr>
        <w:spacing w:before="40" w:after="60"/>
      </w:pPr>
      <w:r>
        <w:rPr>
          <w:rFonts w:ascii="Arial" w:cs="Arial" w:eastAsia="Arial" w:hAnsi="Arial"/>
          <w:sz w:val="20"/>
          <w:szCs w:val="20"/>
        </w:rPr>
        <w:t xml:space="preserve">C8: Changes in ability to concentrate on tasks</w:t>
      </w:r>
    </w:p>
    <w:p>
      <w:pPr>
        <w:pStyle w:val="ListParagraph"/>
        <w:numPr>
          <w:ilvl w:val="0"/>
          <w:numId w:val="2"/>
        </w:numPr>
        <w:spacing w:before="40" w:after="60"/>
      </w:pPr>
      <w:r>
        <w:rPr>
          <w:rFonts w:ascii="Arial" w:cs="Arial" w:eastAsia="Arial" w:hAnsi="Arial"/>
          <w:sz w:val="20"/>
          <w:szCs w:val="20"/>
        </w:rPr>
        <w:t xml:space="preserve">C9: Repeating the same questions or stories</w:t>
      </w:r>
    </w:p>
    <w:p>
      <w:pPr>
        <w:pStyle w:val="ListParagraph"/>
        <w:numPr>
          <w:ilvl w:val="0"/>
          <w:numId w:val="2"/>
        </w:numPr>
        <w:spacing w:before="40" w:after="60"/>
      </w:pPr>
      <w:r>
        <w:rPr>
          <w:rFonts w:ascii="Arial" w:cs="Arial" w:eastAsia="Arial" w:hAnsi="Arial"/>
          <w:sz w:val="20"/>
          <w:szCs w:val="20"/>
        </w:rPr>
        <w:t xml:space="preserve">C10: Confusion or disorientation in familiar places</w:t>
      </w:r>
    </w:p>
    <w:p>
      <w:pPr>
        <w:pStyle w:val="ListParagraph"/>
        <w:numPr>
          <w:ilvl w:val="0"/>
          <w:numId w:val="2"/>
        </w:numPr>
        <w:spacing w:before="40" w:after="60"/>
      </w:pPr>
      <w:r>
        <w:rPr>
          <w:rFonts w:ascii="Arial" w:cs="Arial" w:eastAsia="Arial" w:hAnsi="Arial"/>
          <w:sz w:val="20"/>
          <w:szCs w:val="20"/>
        </w:rPr>
        <w:t xml:space="preserve">C11: Concern expressed by friends or family about memory</w:t>
      </w:r>
    </w:p>
    <w:p>
      <w:pPr>
        <w:pStyle w:val="ListParagraph"/>
        <w:numPr>
          <w:ilvl w:val="0"/>
          <w:numId w:val="2"/>
        </w:numPr>
        <w:spacing w:before="40" w:after="60"/>
      </w:pPr>
      <w:r>
        <w:rPr>
          <w:rFonts w:ascii="Arial" w:cs="Arial" w:eastAsia="Arial" w:hAnsi="Arial"/>
          <w:sz w:val="20"/>
          <w:szCs w:val="20"/>
        </w:rPr>
        <w:t xml:space="preserve">C12: Changes in decision-making or judgement</w:t>
      </w:r>
    </w:p>
    <w:p>
      <w:pPr>
        <w:pStyle w:val="ListParagraph"/>
        <w:numPr>
          <w:ilvl w:val="0"/>
          <w:numId w:val="2"/>
        </w:numPr>
        <w:spacing w:before="40" w:after="60"/>
      </w:pPr>
      <w:r>
        <w:rPr>
          <w:rFonts w:ascii="Arial" w:cs="Arial" w:eastAsia="Arial" w:hAnsi="Arial"/>
          <w:sz w:val="20"/>
          <w:szCs w:val="20"/>
        </w:rPr>
        <w:t xml:space="preserve">I1–I5: Informant-reported parallel observations (optional)</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center"/>
    </w:pPr>
    <w:r>
      <w:rPr>
        <w:rFonts w:ascii="Arial" w:cs="Arial" w:eastAsia="Arial" w:hAnsi="Arial"/>
        <w:color w:val="888888"/>
        <w:sz w:val="16"/>
        <w:szCs w:val="16"/>
      </w:rPr>
      <w:t xml:space="preserve">SCREENING ONLY — NOT DIAGNOSTIC — EDUCATIONAL &amp; RESEARCH USE  |  Page </w:t>
    </w:r>
    <w:r>
      <w:rPr>
        <w:rFonts w:ascii="Arial" w:cs="Arial" w:eastAsia="Arial" w:hAnsi="Arial"/>
        <w:color w:val="888888"/>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spacing w:after="100"/>
    </w:pPr>
    <w:r>
      <w:rPr>
        <w:rFonts w:ascii="Arial" w:cs="Arial" w:eastAsia="Arial" w:hAnsi="Arial"/>
        <w:b/>
        <w:bCs/>
        <w:color w:val="2E6DA4"/>
        <w:sz w:val="18"/>
        <w:szCs w:val="18"/>
      </w:rPr>
      <w:t xml:space="preserve">ANTIGRAVITY  |  Digital Mental Health Screening System</w:t>
    </w:r>
    <w:r>
      <w:rPr>
        <w:rFonts w:ascii="Arial" w:cs="Arial" w:eastAsia="Arial" w:hAnsi="Arial"/>
        <w:color w:val="888888"/>
        <w:sz w:val="16"/>
        <w:szCs w:val="16"/>
      </w:rPr>
      <w:t xml:space="preserve">   —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Georgia" w:cs="Georgia" w:eastAsia="Georgia" w:hAnsi="Georgia"/>
      <w:b/>
      <w:bCs/>
      <w:color w:val="1B3A5C"/>
      <w:sz w:val="32"/>
      <w:szCs w:val="32"/>
    </w:rPr>
  </w:style>
  <w:style w:type="paragraph" w:styleId="Heading2">
    <w:name w:val="Heading 2"/>
    <w:basedOn w:val="Normal"/>
    <w:next w:val="Normal"/>
    <w:qFormat/>
    <w:pPr>
      <w:spacing w:before="280" w:after="120"/>
      <w:outlineLvl w:val="1"/>
    </w:pPr>
    <w:rPr>
      <w:rFonts w:ascii="Georgia" w:cs="Georgia" w:eastAsia="Georgia" w:hAnsi="Georgia"/>
      <w:b/>
      <w:bCs/>
      <w:color w:val="2E6DA4"/>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2026-02-21T12:39:03.194Z</dcterms:created>
  <dcterms:modified xsi:type="dcterms:W3CDTF">2026-02-21T12:39:03.195Z</dcterms:modified>
</cp:coreProperties>
</file>

<file path=docProps/custom.xml><?xml version="1.0" encoding="utf-8"?>
<Properties xmlns="http://schemas.openxmlformats.org/officeDocument/2006/custom-properties" xmlns:vt="http://schemas.openxmlformats.org/officeDocument/2006/docPropsVTypes"/>
</file>