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Healthcare Data Enrichment</w:t>
      </w:r>
    </w:p>
    <w:p>
      <w:pPr>
        <w:jc w:val="center"/>
      </w:pPr>
      <w:r>
        <w:rPr>
          <w:b/>
          <w:sz w:val="30"/>
        </w:rPr>
        <w:t>Prompt Documentation</w:t>
      </w:r>
    </w:p>
    <w:p>
      <w:pPr>
        <w:jc w:val="center"/>
      </w:pPr>
      <w:r>
        <w:rPr>
          <w:i/>
          <w:sz w:val="21"/>
        </w:rPr>
        <w:t>Australian Medical Practice Data</w:t>
      </w:r>
    </w:p>
    <w:p>
      <w:r>
        <w:rPr>
          <w:b/>
          <w:sz w:val="28"/>
        </w:rPr>
        <w:t>1. Project Overview</w:t>
      </w:r>
    </w:p>
    <w:p>
      <w:r>
        <w:t>This project is an AI-powered healthcare data enrichment system for Australian medical practices. The source data was collected from the Family Doctor Australia clinic directory and cleaned before AI processing.</w:t>
      </w:r>
    </w:p>
    <w:p>
      <w:r>
        <w:t>The final dataset contains 86 unique medical practice records. The main goal of AI enrichment was to convert unstructured service information into structured and useful healthcare fields while maintaining high data quality.</w:t>
      </w:r>
    </w:p>
    <w:p>
      <w:r>
        <w:rPr>
          <w:b/>
          <w:sz w:val="28"/>
        </w:rPr>
        <w:t>2. Final Dataset Fields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sz w:val="19"/>
              </w:rPr>
              <w:t>Field</w:t>
            </w:r>
          </w:p>
        </w:tc>
        <w:tc>
          <w:tcPr>
            <w:tcW w:type="dxa" w:w="5040"/>
            <w:vAlign w:val="top"/>
            <w:shd w:fill="D9EAF7"/>
          </w:tcPr>
          <w:p>
            <w:pPr>
              <w:spacing w:after="0"/>
            </w:pPr>
            <w:r/>
            <w:r>
              <w:rPr>
                <w:b/>
                <w:sz w:val="19"/>
              </w:rPr>
              <w:t>Description</w:t>
            </w:r>
          </w:p>
        </w:tc>
      </w:tr>
      <w:tr>
        <w:tc>
          <w:tcPr>
            <w:tcW w:type="dxa" w:w="5040"/>
            <w:vAlign w:val="top"/>
          </w:tcPr>
          <w:p>
            <w:pPr>
              <w:spacing w:after="0"/>
            </w:pPr>
            <w:r/>
            <w:r>
              <w:rPr>
                <w:b w:val="0"/>
                <w:sz w:val="19"/>
              </w:rPr>
              <w:t>practice_name</w:t>
            </w:r>
          </w:p>
        </w:tc>
        <w:tc>
          <w:tcPr>
            <w:tcW w:type="dxa" w:w="5040"/>
            <w:vAlign w:val="top"/>
          </w:tcPr>
          <w:p>
            <w:pPr>
              <w:spacing w:after="0"/>
            </w:pPr>
            <w:r/>
            <w:r>
              <w:rPr>
                <w:b w:val="0"/>
                <w:sz w:val="19"/>
              </w:rPr>
              <w:t>Name of the medical practice</w:t>
            </w:r>
          </w:p>
        </w:tc>
      </w:tr>
      <w:tr>
        <w:tc>
          <w:tcPr>
            <w:tcW w:type="dxa" w:w="5040"/>
            <w:vAlign w:val="top"/>
          </w:tcPr>
          <w:p>
            <w:pPr>
              <w:spacing w:after="0"/>
            </w:pPr>
            <w:r/>
            <w:r>
              <w:rPr>
                <w:b w:val="0"/>
                <w:sz w:val="19"/>
              </w:rPr>
              <w:t>phone</w:t>
            </w:r>
          </w:p>
        </w:tc>
        <w:tc>
          <w:tcPr>
            <w:tcW w:type="dxa" w:w="5040"/>
            <w:vAlign w:val="top"/>
          </w:tcPr>
          <w:p>
            <w:pPr>
              <w:spacing w:after="0"/>
            </w:pPr>
            <w:r/>
            <w:r>
              <w:rPr>
                <w:b w:val="0"/>
                <w:sz w:val="19"/>
              </w:rPr>
              <w:t>Official phone number collected from the source</w:t>
            </w:r>
          </w:p>
        </w:tc>
      </w:tr>
      <w:tr>
        <w:tc>
          <w:tcPr>
            <w:tcW w:type="dxa" w:w="5040"/>
            <w:vAlign w:val="top"/>
          </w:tcPr>
          <w:p>
            <w:pPr>
              <w:spacing w:after="0"/>
            </w:pPr>
            <w:r/>
            <w:r>
              <w:rPr>
                <w:b w:val="0"/>
                <w:sz w:val="19"/>
              </w:rPr>
              <w:t>full_address</w:t>
            </w:r>
          </w:p>
        </w:tc>
        <w:tc>
          <w:tcPr>
            <w:tcW w:type="dxa" w:w="5040"/>
            <w:vAlign w:val="top"/>
          </w:tcPr>
          <w:p>
            <w:pPr>
              <w:spacing w:after="0"/>
            </w:pPr>
            <w:r/>
            <w:r>
              <w:rPr>
                <w:b w:val="0"/>
                <w:sz w:val="19"/>
              </w:rPr>
              <w:t>Full practice address</w:t>
            </w:r>
          </w:p>
        </w:tc>
      </w:tr>
      <w:tr>
        <w:tc>
          <w:tcPr>
            <w:tcW w:type="dxa" w:w="5040"/>
            <w:vAlign w:val="top"/>
          </w:tcPr>
          <w:p>
            <w:pPr>
              <w:spacing w:after="0"/>
            </w:pPr>
            <w:r/>
            <w:r>
              <w:rPr>
                <w:b w:val="0"/>
                <w:sz w:val="19"/>
              </w:rPr>
              <w:t>opening_hours</w:t>
            </w:r>
          </w:p>
        </w:tc>
        <w:tc>
          <w:tcPr>
            <w:tcW w:type="dxa" w:w="5040"/>
            <w:vAlign w:val="top"/>
          </w:tcPr>
          <w:p>
            <w:pPr>
              <w:spacing w:after="0"/>
            </w:pPr>
            <w:r/>
            <w:r>
              <w:rPr>
                <w:b w:val="0"/>
                <w:sz w:val="19"/>
              </w:rPr>
              <w:t>Practice opening hours</w:t>
            </w:r>
          </w:p>
        </w:tc>
      </w:tr>
      <w:tr>
        <w:tc>
          <w:tcPr>
            <w:tcW w:type="dxa" w:w="5040"/>
            <w:vAlign w:val="top"/>
          </w:tcPr>
          <w:p>
            <w:pPr>
              <w:spacing w:after="0"/>
            </w:pPr>
            <w:r/>
            <w:r>
              <w:rPr>
                <w:b w:val="0"/>
                <w:sz w:val="19"/>
              </w:rPr>
              <w:t>services_raw</w:t>
            </w:r>
          </w:p>
        </w:tc>
        <w:tc>
          <w:tcPr>
            <w:tcW w:type="dxa" w:w="5040"/>
            <w:vAlign w:val="top"/>
          </w:tcPr>
          <w:p>
            <w:pPr>
              <w:spacing w:after="0"/>
            </w:pPr>
            <w:r/>
            <w:r>
              <w:rPr>
                <w:b w:val="0"/>
                <w:sz w:val="19"/>
              </w:rPr>
              <w:t>Original service information collected from the source</w:t>
            </w:r>
          </w:p>
        </w:tc>
      </w:tr>
      <w:tr>
        <w:tc>
          <w:tcPr>
            <w:tcW w:type="dxa" w:w="5040"/>
            <w:vAlign w:val="top"/>
          </w:tcPr>
          <w:p>
            <w:pPr>
              <w:spacing w:after="0"/>
            </w:pPr>
            <w:r/>
            <w:r>
              <w:rPr>
                <w:b w:val="0"/>
                <w:sz w:val="19"/>
              </w:rPr>
              <w:t>service_categories</w:t>
            </w:r>
          </w:p>
        </w:tc>
        <w:tc>
          <w:tcPr>
            <w:tcW w:type="dxa" w:w="5040"/>
            <w:vAlign w:val="top"/>
          </w:tcPr>
          <w:p>
            <w:pPr>
              <w:spacing w:after="0"/>
            </w:pPr>
            <w:r/>
            <w:r>
              <w:rPr>
                <w:b w:val="0"/>
                <w:sz w:val="19"/>
              </w:rPr>
              <w:t>Structured healthcare service categories generated by AI</w:t>
            </w:r>
          </w:p>
        </w:tc>
      </w:tr>
      <w:tr>
        <w:tc>
          <w:tcPr>
            <w:tcW w:type="dxa" w:w="5040"/>
            <w:vAlign w:val="top"/>
          </w:tcPr>
          <w:p>
            <w:pPr>
              <w:spacing w:after="0"/>
            </w:pPr>
            <w:r/>
            <w:r>
              <w:rPr>
                <w:b w:val="0"/>
                <w:sz w:val="19"/>
              </w:rPr>
              <w:t>telehealth</w:t>
            </w:r>
          </w:p>
        </w:tc>
        <w:tc>
          <w:tcPr>
            <w:tcW w:type="dxa" w:w="5040"/>
            <w:vAlign w:val="top"/>
          </w:tcPr>
          <w:p>
            <w:pPr>
              <w:spacing w:after="0"/>
            </w:pPr>
            <w:r/>
            <w:r>
              <w:rPr>
                <w:b w:val="0"/>
                <w:sz w:val="19"/>
              </w:rPr>
              <w:t>Indicates whether telehealth is explicitly mentioned</w:t>
            </w:r>
          </w:p>
        </w:tc>
      </w:tr>
      <w:tr>
        <w:tc>
          <w:tcPr>
            <w:tcW w:type="dxa" w:w="5040"/>
            <w:vAlign w:val="top"/>
          </w:tcPr>
          <w:p>
            <w:pPr>
              <w:spacing w:after="0"/>
            </w:pPr>
            <w:r/>
            <w:r>
              <w:rPr>
                <w:b w:val="0"/>
                <w:sz w:val="19"/>
              </w:rPr>
              <w:t>source_url</w:t>
            </w:r>
          </w:p>
        </w:tc>
        <w:tc>
          <w:tcPr>
            <w:tcW w:type="dxa" w:w="5040"/>
            <w:vAlign w:val="top"/>
          </w:tcPr>
          <w:p>
            <w:pPr>
              <w:spacing w:after="0"/>
            </w:pPr>
            <w:r/>
            <w:r>
              <w:rPr>
                <w:b w:val="0"/>
                <w:sz w:val="19"/>
              </w:rPr>
              <w:t>Original source page used for the practice</w:t>
            </w:r>
          </w:p>
        </w:tc>
      </w:tr>
    </w:tbl>
    <w:p>
      <w:r>
        <w:rPr>
          <w:b/>
          <w:sz w:val="28"/>
        </w:rPr>
        <w:t>3. Prompt Engineering Approach</w:t>
      </w:r>
    </w:p>
    <w:p>
      <w:r>
        <w:t>A two-step prompt refinement approach was used to improve the reliability and consistency of the AI enrichment.</w:t>
      </w:r>
    </w:p>
    <w:p>
      <w:r>
        <w:rPr>
          <w:b/>
          <w:sz w:val="24"/>
        </w:rPr>
        <w:t>Prompt Version 1</w:t>
      </w:r>
    </w:p>
    <w:p>
      <w:pPr>
        <w:pStyle w:val="ListBullet"/>
        <w:spacing w:after="40"/>
      </w:pPr>
      <w:r>
        <w:t>Use only the information provided for each clinic.</w:t>
      </w:r>
    </w:p>
    <w:p>
      <w:pPr>
        <w:pStyle w:val="ListBullet"/>
        <w:spacing w:after="40"/>
      </w:pPr>
      <w:r>
        <w:t>Identify healthcare services from services_raw.</w:t>
      </w:r>
    </w:p>
    <w:p>
      <w:pPr>
        <w:pStyle w:val="ListBullet"/>
        <w:spacing w:after="40"/>
      </w:pPr>
      <w:r>
        <w:t>Convert unstructured services into structured categories.</w:t>
      </w:r>
    </w:p>
    <w:p>
      <w:pPr>
        <w:pStyle w:val="ListBullet"/>
        <w:spacing w:after="40"/>
      </w:pPr>
      <w:r>
        <w:t>Identify whether telehealth is mentioned.</w:t>
      </w:r>
    </w:p>
    <w:p>
      <w:pPr>
        <w:pStyle w:val="ListBullet"/>
        <w:spacing w:after="40"/>
      </w:pPr>
      <w:r>
        <w:t>Avoid assumptions and unsupported information.</w:t>
      </w:r>
    </w:p>
    <w:p>
      <w:pPr>
        <w:pStyle w:val="ListBullet"/>
        <w:spacing w:after="40"/>
      </w:pPr>
      <w:r>
        <w:t>Return the result in a consistent structured format.</w:t>
      </w:r>
    </w:p>
    <w:p>
      <w:r>
        <w:rPr>
          <w:b/>
          <w:sz w:val="24"/>
        </w:rPr>
        <w:t>Problem Identified</w:t>
      </w:r>
    </w:p>
    <w:p>
      <w:r>
        <w:t>During testing, it was important to make sure the AI did not generalize common healthcare services or add information that was not supported by the current clinic record. This led to a stronger evidence-based prompt.</w:t>
      </w:r>
    </w:p>
    <w:p>
      <w:r>
        <w:rPr>
          <w:b/>
          <w:sz w:val="28"/>
        </w:rPr>
        <w:t>4. Final Prompt — Version 2</w:t>
      </w:r>
    </w:p>
    <w:p>
      <w:r>
        <w:t>Role: You are a healthcare data enrichment assistant.</w:t>
      </w:r>
    </w:p>
    <w:p>
      <w:r>
        <w:t>Analyze one Australian medical practice record at a time and convert the available service information into structured fields.</w:t>
      </w:r>
    </w:p>
    <w:p>
      <w:r>
        <w:rPr>
          <w:b/>
          <w:sz w:val="24"/>
        </w:rPr>
        <w:t>Rules</w:t>
      </w:r>
    </w:p>
    <w:p>
      <w:pPr>
        <w:pStyle w:val="ListBullet"/>
        <w:spacing w:after="40"/>
      </w:pPr>
      <w:r>
        <w:t>Use ONLY the information provided in the current clinic record.</w:t>
      </w:r>
    </w:p>
    <w:p>
      <w:pPr>
        <w:pStyle w:val="ListBullet"/>
        <w:spacing w:after="40"/>
      </w:pPr>
      <w:r>
        <w:t>Do not use outside knowledge, assumptions, or guesses.</w:t>
      </w:r>
    </w:p>
    <w:p>
      <w:pPr>
        <w:pStyle w:val="ListBullet"/>
        <w:spacing w:after="40"/>
      </w:pPr>
      <w:r>
        <w:t>Analyze each clinic independently.</w:t>
      </w:r>
    </w:p>
    <w:p>
      <w:pPr>
        <w:pStyle w:val="ListBullet"/>
        <w:spacing w:after="40"/>
      </w:pPr>
      <w:r>
        <w:t>Do not copy information from another clinic.</w:t>
      </w:r>
    </w:p>
    <w:p>
      <w:pPr>
        <w:pStyle w:val="ListBullet"/>
        <w:spacing w:after="40"/>
      </w:pPr>
      <w:r>
        <w:t>Use services_raw as the main source for service_categories.</w:t>
      </w:r>
    </w:p>
    <w:p>
      <w:pPr>
        <w:pStyle w:val="ListBullet"/>
        <w:spacing w:after="40"/>
      </w:pPr>
      <w:r>
        <w:t>Every service category must be supported by information present in services_raw.</w:t>
      </w:r>
    </w:p>
    <w:p>
      <w:pPr>
        <w:pStyle w:val="ListBullet"/>
        <w:spacing w:after="40"/>
      </w:pPr>
      <w:r>
        <w:t>Do not add common GP services just because they are normally offered by medical practices.</w:t>
      </w:r>
    </w:p>
    <w:p>
      <w:pPr>
        <w:pStyle w:val="ListBullet"/>
        <w:spacing w:after="40"/>
      </w:pPr>
      <w:r>
        <w:t>Set telehealth to Yes only when telehealth is explicitly mentioned in the provided information.</w:t>
      </w:r>
    </w:p>
    <w:p>
      <w:pPr>
        <w:pStyle w:val="ListBullet"/>
        <w:spacing w:after="40"/>
      </w:pPr>
      <w:r>
        <w:t>If telehealth is not supported by the provided information, return Unknown.</w:t>
      </w:r>
    </w:p>
    <w:p>
      <w:pPr>
        <w:pStyle w:val="ListBullet"/>
        <w:spacing w:after="40"/>
      </w:pPr>
      <w:r>
        <w:t>Keep the output consistent across all clinic records.</w:t>
      </w:r>
    </w:p>
    <w:p>
      <w:pPr>
        <w:pStyle w:val="ListBullet"/>
        <w:spacing w:after="40"/>
      </w:pPr>
      <w:r>
        <w:t>Do not change or invent the original source information.</w:t>
      </w:r>
    </w:p>
    <w:p>
      <w:pPr>
        <w:pStyle w:val="ListBullet"/>
        <w:spacing w:after="40"/>
      </w:pPr>
      <w:r>
        <w:t>Return only the requested structured output.</w:t>
      </w:r>
    </w:p>
    <w:p>
      <w:r>
        <w:rPr>
          <w:b/>
          <w:sz w:val="24"/>
        </w:rPr>
        <w:t>Output Format</w:t>
      </w:r>
    </w:p>
    <w:p>
      <w:pPr>
        <w:pStyle w:val="NoSpacing"/>
      </w:pPr>
      <w:r>
        <w:rPr>
          <w:rFonts w:ascii="Consolas" w:hAnsi="Consolas"/>
          <w:sz w:val="18"/>
        </w:rPr>
        <w:t>{</w:t>
        <w:br/>
        <w:t xml:space="preserve">  "practice_name": "Clinic name",</w:t>
        <w:br/>
        <w:t xml:space="preserve">  "service_categories": [</w:t>
        <w:br/>
        <w:t xml:space="preserve">    "General Practice",</w:t>
        <w:br/>
        <w:t xml:space="preserve">    "Health Assessments",</w:t>
        <w:br/>
        <w:t xml:space="preserve">    "Immunisations"</w:t>
        <w:br/>
        <w:t xml:space="preserve">  ],</w:t>
        <w:br/>
        <w:t xml:space="preserve">  "telehealth": "Yes"</w:t>
        <w:br/>
        <w:t>}</w:t>
      </w:r>
    </w:p>
    <w:p>
      <w:r>
        <w:t>If a service is not supported by the source, it must not be added.</w:t>
      </w:r>
    </w:p>
    <w:p>
      <w:r>
        <w:rPr>
          <w:b/>
          <w:sz w:val="28"/>
        </w:rPr>
        <w:t>5. Prompt Refinement</w:t>
      </w:r>
    </w:p>
    <w:p>
      <w:r>
        <w:t>The main improvement from Version 1 to Version 2 was the introduction of stronger evidence-based rules.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pPr>
              <w:spacing w:after="0"/>
            </w:pPr>
            <w:r/>
            <w:r>
              <w:rPr>
                <w:b/>
                <w:sz w:val="19"/>
              </w:rPr>
              <w:t>Version 1</w:t>
            </w:r>
          </w:p>
        </w:tc>
        <w:tc>
          <w:tcPr>
            <w:tcW w:type="dxa" w:w="5040"/>
            <w:vAlign w:val="top"/>
            <w:shd w:fill="D9EAF7"/>
          </w:tcPr>
          <w:p>
            <w:pPr>
              <w:spacing w:after="0"/>
            </w:pPr>
            <w:r/>
            <w:r>
              <w:rPr>
                <w:b/>
                <w:sz w:val="19"/>
              </w:rPr>
              <w:t>Version 2</w:t>
            </w:r>
          </w:p>
        </w:tc>
      </w:tr>
      <w:tr>
        <w:tc>
          <w:tcPr>
            <w:tcW w:type="dxa" w:w="5040"/>
            <w:vAlign w:val="top"/>
          </w:tcPr>
          <w:p>
            <w:pPr>
              <w:spacing w:after="0"/>
            </w:pPr>
            <w:r/>
            <w:r>
              <w:rPr>
                <w:b w:val="0"/>
                <w:sz w:val="19"/>
              </w:rPr>
              <w:t>Extract and structure healthcare services.</w:t>
            </w:r>
          </w:p>
        </w:tc>
        <w:tc>
          <w:tcPr>
            <w:tcW w:type="dxa" w:w="5040"/>
            <w:vAlign w:val="top"/>
          </w:tcPr>
          <w:p>
            <w:pPr>
              <w:spacing w:after="0"/>
            </w:pPr>
            <w:r/>
            <w:r>
              <w:rPr>
                <w:b w:val="0"/>
                <w:sz w:val="19"/>
              </w:rPr>
              <w:t>Extract and structure healthcare services only when directly supported by the current clinic's source information.</w:t>
            </w:r>
          </w:p>
        </w:tc>
      </w:tr>
      <w:tr>
        <w:tc>
          <w:tcPr>
            <w:tcW w:type="dxa" w:w="5040"/>
            <w:vAlign w:val="top"/>
          </w:tcPr>
          <w:p>
            <w:pPr>
              <w:spacing w:after="0"/>
            </w:pPr>
            <w:r/>
            <w:r>
              <w:rPr>
                <w:b w:val="0"/>
                <w:sz w:val="19"/>
              </w:rPr>
              <w:t>General evidence-based extraction.</w:t>
            </w:r>
          </w:p>
        </w:tc>
        <w:tc>
          <w:tcPr>
            <w:tcW w:type="dxa" w:w="5040"/>
            <w:vAlign w:val="top"/>
          </w:tcPr>
          <w:p>
            <w:pPr>
              <w:spacing w:after="0"/>
            </w:pPr>
            <w:r/>
            <w:r>
              <w:rPr>
                <w:b w:val="0"/>
                <w:sz w:val="19"/>
              </w:rPr>
              <w:t>Stronger controls against hallucination, assumptions, and cross-clinic copying.</w:t>
            </w:r>
          </w:p>
        </w:tc>
      </w:tr>
    </w:tbl>
    <w:p>
      <w:r>
        <w:rPr>
          <w:b/>
          <w:sz w:val="28"/>
        </w:rPr>
        <w:t>6. Data Quality Strategy</w:t>
      </w:r>
    </w:p>
    <w:p>
      <w:r>
        <w:rPr>
          <w:b/>
          <w:sz w:val="24"/>
        </w:rPr>
        <w:t>Duplicate Check</w:t>
      </w:r>
    </w:p>
    <w:p>
      <w:r>
        <w:t>Duplicate practice records were reviewed and removed. The final dataset contains 86 unique medical practices.</w:t>
      </w:r>
    </w:p>
    <w:p>
      <w:r>
        <w:rPr>
          <w:b/>
          <w:sz w:val="24"/>
        </w:rPr>
        <w:t>Source Traceability</w:t>
      </w:r>
    </w:p>
    <w:p>
      <w:r>
        <w:t>Every record retains its original source_url. This makes it possible to trace the information back to the original source.</w:t>
      </w:r>
    </w:p>
    <w:p>
      <w:r>
        <w:rPr>
          <w:b/>
          <w:sz w:val="24"/>
        </w:rPr>
        <w:t>Source Preservation</w:t>
      </w:r>
    </w:p>
    <w:p>
      <w:r>
        <w:t>The original services_raw field was retained. This allows the AI-generated service_categories to be compared directly with the source information.</w:t>
      </w:r>
    </w:p>
    <w:p>
      <w:r>
        <w:rPr>
          <w:b/>
          <w:sz w:val="24"/>
        </w:rPr>
        <w:t>Missing Data</w:t>
      </w:r>
    </w:p>
    <w:p>
      <w:r>
        <w:t>Missing information was not invented or guessed. Where the source did not provide enough information, the AI was instructed not to create unsupported values.</w:t>
      </w:r>
    </w:p>
    <w:p>
      <w:r>
        <w:rPr>
          <w:b/>
          <w:sz w:val="28"/>
        </w:rPr>
        <w:t>7. AI Enrichment Example</w:t>
      </w:r>
    </w:p>
    <w:p>
      <w:r>
        <w:rPr>
          <w:b/>
          <w:sz w:val="24"/>
        </w:rPr>
        <w:t>Source Information</w:t>
      </w:r>
    </w:p>
    <w:p>
      <w:r>
        <w:t>services_raw: General practice services including health assessments, immunisations, chronic disease management, mental health care plans, skin checks, women's and men's health, children's health, travel medicine, and telehealth consultations.</w:t>
      </w:r>
    </w:p>
    <w:p>
      <w:r>
        <w:rPr>
          <w:b/>
          <w:sz w:val="24"/>
        </w:rPr>
        <w:t>AI-Enriched Output</w:t>
      </w:r>
    </w:p>
    <w:p>
      <w:pPr>
        <w:pStyle w:val="ListBullet"/>
        <w:spacing w:after="40"/>
      </w:pPr>
      <w:r>
        <w:t>General Practice</w:t>
      </w:r>
    </w:p>
    <w:p>
      <w:pPr>
        <w:pStyle w:val="ListBullet"/>
        <w:spacing w:after="40"/>
      </w:pPr>
      <w:r>
        <w:t>Health Assessments</w:t>
      </w:r>
    </w:p>
    <w:p>
      <w:pPr>
        <w:pStyle w:val="ListBullet"/>
        <w:spacing w:after="40"/>
      </w:pPr>
      <w:r>
        <w:t>Immunisations</w:t>
      </w:r>
    </w:p>
    <w:p>
      <w:pPr>
        <w:pStyle w:val="ListBullet"/>
        <w:spacing w:after="40"/>
      </w:pPr>
      <w:r>
        <w:t>Chronic Disease Management</w:t>
      </w:r>
    </w:p>
    <w:p>
      <w:pPr>
        <w:pStyle w:val="ListBullet"/>
        <w:spacing w:after="40"/>
      </w:pPr>
      <w:r>
        <w:t>Mental Health Care Plans</w:t>
      </w:r>
    </w:p>
    <w:p>
      <w:pPr>
        <w:pStyle w:val="ListBullet"/>
        <w:spacing w:after="40"/>
      </w:pPr>
      <w:r>
        <w:t>Skin Checks</w:t>
      </w:r>
    </w:p>
    <w:p>
      <w:pPr>
        <w:pStyle w:val="ListBullet"/>
        <w:spacing w:after="40"/>
      </w:pPr>
      <w:r>
        <w:t>Women's &amp; Men's Health</w:t>
      </w:r>
    </w:p>
    <w:p>
      <w:pPr>
        <w:pStyle w:val="ListBullet"/>
        <w:spacing w:after="40"/>
      </w:pPr>
      <w:r>
        <w:t>Children's Health</w:t>
      </w:r>
    </w:p>
    <w:p>
      <w:pPr>
        <w:pStyle w:val="ListBullet"/>
        <w:spacing w:after="40"/>
      </w:pPr>
      <w:r>
        <w:t>Travel Medicine</w:t>
      </w:r>
    </w:p>
    <w:p>
      <w:pPr>
        <w:pStyle w:val="ListBullet"/>
        <w:spacing w:after="40"/>
      </w:pPr>
      <w:r>
        <w:t>Telehealth Consultations</w:t>
      </w:r>
    </w:p>
    <w:p>
      <w:r>
        <w:t>telehealth: Yes</w:t>
      </w:r>
    </w:p>
    <w:p>
      <w:r>
        <w:t>The AI output is directly supported by the original source information.</w:t>
      </w:r>
    </w:p>
    <w:p>
      <w:r>
        <w:rPr>
          <w:b/>
          <w:sz w:val="28"/>
        </w:rPr>
        <w:t>8. Final Workflow</w:t>
      </w:r>
    </w:p>
    <w:p>
      <w:pPr>
        <w:jc w:val="center"/>
      </w:pPr>
      <w:r>
        <w:rPr>
          <w:b w:val="0"/>
        </w:rPr>
        <w:t>Family Doctor Australia Directory</w:t>
      </w:r>
    </w:p>
    <w:p>
      <w:pPr>
        <w:jc w:val="center"/>
      </w:pPr>
      <w:r>
        <w:rPr>
          <w:b w:val="0"/>
        </w:rPr>
        <w:t>↓</w:t>
      </w:r>
    </w:p>
    <w:p>
      <w:pPr>
        <w:jc w:val="center"/>
      </w:pPr>
      <w:r>
        <w:rPr>
          <w:b w:val="0"/>
        </w:rPr>
        <w:t>Web Scraping</w:t>
      </w:r>
    </w:p>
    <w:p>
      <w:pPr>
        <w:jc w:val="center"/>
      </w:pPr>
      <w:r>
        <w:rPr>
          <w:b w:val="0"/>
        </w:rPr>
        <w:t>↓</w:t>
      </w:r>
    </w:p>
    <w:p>
      <w:pPr>
        <w:jc w:val="center"/>
      </w:pPr>
      <w:r>
        <w:rPr>
          <w:b w:val="0"/>
        </w:rPr>
        <w:t>Raw Clinic Data</w:t>
      </w:r>
    </w:p>
    <w:p>
      <w:pPr>
        <w:jc w:val="center"/>
      </w:pPr>
      <w:r>
        <w:rPr>
          <w:b w:val="0"/>
        </w:rPr>
        <w:t>↓</w:t>
      </w:r>
    </w:p>
    <w:p>
      <w:pPr>
        <w:jc w:val="center"/>
      </w:pPr>
      <w:r>
        <w:rPr>
          <w:b w:val="0"/>
        </w:rPr>
        <w:t>Data Cleaning &amp; Duplicate Removal</w:t>
      </w:r>
    </w:p>
    <w:p>
      <w:pPr>
        <w:jc w:val="center"/>
      </w:pPr>
      <w:r>
        <w:rPr>
          <w:b w:val="0"/>
        </w:rPr>
        <w:t>↓</w:t>
      </w:r>
    </w:p>
    <w:p>
      <w:pPr>
        <w:jc w:val="center"/>
      </w:pPr>
      <w:r>
        <w:rPr>
          <w:b/>
        </w:rPr>
        <w:t>86 Unique Clinics</w:t>
      </w:r>
    </w:p>
    <w:p>
      <w:pPr>
        <w:jc w:val="center"/>
      </w:pPr>
      <w:r>
        <w:rPr>
          <w:b w:val="0"/>
        </w:rPr>
        <w:t>↓</w:t>
      </w:r>
    </w:p>
    <w:p>
      <w:pPr>
        <w:jc w:val="center"/>
      </w:pPr>
      <w:r>
        <w:rPr>
          <w:b w:val="0"/>
        </w:rPr>
        <w:t>AI Prompt V1</w:t>
      </w:r>
    </w:p>
    <w:p>
      <w:pPr>
        <w:jc w:val="center"/>
      </w:pPr>
      <w:r>
        <w:rPr>
          <w:b w:val="0"/>
        </w:rPr>
        <w:t>↓</w:t>
      </w:r>
    </w:p>
    <w:p>
      <w:pPr>
        <w:jc w:val="center"/>
      </w:pPr>
      <w:r>
        <w:rPr>
          <w:b w:val="0"/>
        </w:rPr>
        <w:t>Testing &amp; Quality Review</w:t>
      </w:r>
    </w:p>
    <w:p>
      <w:pPr>
        <w:jc w:val="center"/>
      </w:pPr>
      <w:r>
        <w:rPr>
          <w:b w:val="0"/>
        </w:rPr>
        <w:t>↓</w:t>
      </w:r>
    </w:p>
    <w:p>
      <w:pPr>
        <w:jc w:val="center"/>
      </w:pPr>
      <w:r>
        <w:rPr>
          <w:b w:val="0"/>
        </w:rPr>
        <w:t>Prompt V2 Refinement</w:t>
      </w:r>
    </w:p>
    <w:p>
      <w:pPr>
        <w:jc w:val="center"/>
      </w:pPr>
      <w:r>
        <w:rPr>
          <w:b w:val="0"/>
        </w:rPr>
        <w:t>↓</w:t>
      </w:r>
    </w:p>
    <w:p>
      <w:pPr>
        <w:jc w:val="center"/>
      </w:pPr>
      <w:r>
        <w:rPr>
          <w:b w:val="0"/>
        </w:rPr>
        <w:t>Evidence-Based AI Enrichment</w:t>
      </w:r>
    </w:p>
    <w:p>
      <w:pPr>
        <w:jc w:val="center"/>
      </w:pPr>
      <w:r>
        <w:rPr>
          <w:b w:val="0"/>
        </w:rPr>
        <w:t>↓</w:t>
      </w:r>
    </w:p>
    <w:p>
      <w:pPr>
        <w:jc w:val="center"/>
      </w:pPr>
      <w:r>
        <w:rPr>
          <w:b/>
        </w:rPr>
        <w:t>Final Master Healthcare Dataset</w:t>
      </w:r>
    </w:p>
    <w:p>
      <w:r>
        <w:rPr>
          <w:b/>
          <w:sz w:val="28"/>
        </w:rPr>
        <w:t>9. Key Learning</w:t>
      </w:r>
    </w:p>
    <w:p>
      <w:r>
        <w:t>The most important learning from the project was that AI enrichment should not simply generate information — it should generate information that can be supported by the source data.</w:t>
      </w:r>
    </w:p>
    <w:p>
      <w:r>
        <w:t>Prompt engineering helped make the AI more controlled, consistent, and reliable for healthcare data processing.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Healthcare Data Enrichment — Prompt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