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line="264" w:lineRule="auto"/>
      </w:pPr>
      <w:r>
        <w:rPr>
          <w:rFonts w:ascii="Calibri" w:hAnsi="Calibri"/>
          <w:b/>
          <w:color w:val="000000"/>
          <w:sz w:val="48"/>
        </w:rPr>
        <w:t>Yardi Auto Bank Reconciliation</w:t>
      </w:r>
    </w:p>
    <w:p>
      <w:pPr>
        <w:spacing w:before="0" w:after="80" w:line="264" w:lineRule="auto"/>
      </w:pPr>
      <w:r>
        <w:rPr>
          <w:rFonts w:ascii="Calibri" w:hAnsi="Calibri"/>
          <w:b/>
          <w:color w:val="555555"/>
          <w:sz w:val="30"/>
        </w:rPr>
        <w:t>Technical Reference for New Clients</w:t>
      </w:r>
    </w:p>
    <w:p>
      <w:pPr>
        <w:spacing w:before="0" w:after="280" w:line="264" w:lineRule="auto"/>
      </w:pPr>
      <w:r>
        <w:rPr>
          <w:rFonts w:ascii="Calibri" w:hAnsi="Calibri"/>
          <w:color w:val="555555"/>
          <w:sz w:val="21"/>
        </w:rPr>
        <w:t>Solution overview - Architecture - File handling - Monitoring - Implementation guide</w:t>
      </w:r>
    </w:p>
    <w:tbl>
      <w:tblPr>
        <w:tblStyle w:val="TableGrid"/>
        <w:tblW w:type="auto" w:w="0"/>
        <w:jc w:val="center"/>
        <w:tblLayout w:type="fixed"/>
        <w:tblLook w:firstColumn="1" w:firstRow="1" w:lastColumn="0" w:lastRow="0" w:noHBand="0" w:noVBand="1" w:val="04A0"/>
      </w:tblPr>
      <w:tblGrid>
        <w:gridCol w:w="9360"/>
      </w:tblGrid>
      <w:tr>
        <w:tc>
          <w:tcPr>
            <w:tcW w:type="dxa" w:w="9072"/>
            <w:tcMar>
              <w:top w:w="90" w:type="dxa"/>
              <w:start w:w="120" w:type="dxa"/>
              <w:bottom w:w="90" w:type="dxa"/>
              <w:end w:w="120" w:type="dxa"/>
            </w:tcMar>
            <w:vAlign w:val="center"/>
            <w:shd w:fill="E8EEF5"/>
          </w:tcPr>
          <w:p>
            <w:pPr>
              <w:spacing w:before="0" w:after="40" w:line="259" w:lineRule="auto"/>
            </w:pPr>
            <w:r>
              <w:rPr>
                <w:rFonts w:ascii="Calibri" w:hAnsi="Calibri"/>
                <w:b/>
                <w:color w:val="1F4D78"/>
                <w:sz w:val="20"/>
              </w:rPr>
              <w:t>AT A GLANCE</w:t>
              <w:br/>
            </w:r>
            <w:r>
              <w:rPr>
                <w:rFonts w:ascii="Calibri" w:hAnsi="Calibri"/>
                <w:color w:val="202020"/>
                <w:sz w:val="20"/>
              </w:rPr>
              <w:t>Automates bank file import, transaction matching, clearing support, optional bank-triggered journals, and reconciliation monitoring inside Yardi.</w:t>
            </w:r>
            <w:r>
              <w:br/>
            </w:r>
            <w:r>
              <w:rPr>
                <w:rFonts w:ascii="Calibri" w:hAnsi="Calibri"/>
                <w:color w:val="202020"/>
                <w:sz w:val="20"/>
              </w:rPr>
              <w:t>Supports BAI2 as the core pattern, with MT940 and CAMT53 variants available where banks, regions, or treasury systems require them.</w:t>
            </w:r>
            <w:r>
              <w:br/>
            </w:r>
            <w:r>
              <w:rPr>
                <w:rFonts w:ascii="Calibri" w:hAnsi="Calibri"/>
                <w:color w:val="202020"/>
                <w:sz w:val="20"/>
              </w:rPr>
              <w:t>Uses Yardi tasks, packages, custom reports, file-server folders, SQL routines, and lightweight scripts rather than a separate reconciliation platform.</w:t>
            </w:r>
            <w:r>
              <w:br/>
            </w:r>
            <w:r>
              <w:rPr>
                <w:rFonts w:ascii="Calibri" w:hAnsi="Calibri"/>
                <w:color w:val="202020"/>
                <w:sz w:val="20"/>
              </w:rPr>
              <w:t>Field-tested across 12+ implementations with configurable matching rules, reports, and operating cadence by client.</w:t>
            </w:r>
          </w:p>
        </w:tc>
      </w:tr>
    </w:tbl>
    <w:p>
      <w:pPr>
        <w:spacing w:after="40"/>
      </w:pPr>
    </w:p>
    <w:p>
      <w:pPr>
        <w:pStyle w:val="Heading1"/>
        <w:spacing w:before="320" w:after="160" w:line="264" w:lineRule="auto"/>
      </w:pPr>
      <w:r>
        <w:rPr>
          <w:rFonts w:ascii="Calibri" w:hAnsi="Calibri"/>
          <w:b/>
          <w:color w:val="2E74B5"/>
          <w:sz w:val="32"/>
        </w:rPr>
        <w:t>1. Solution Overview</w:t>
      </w:r>
    </w:p>
    <w:p>
      <w:pPr>
        <w:spacing w:before="0" w:after="120" w:line="264" w:lineRule="auto"/>
      </w:pPr>
      <w:r>
        <w:rPr>
          <w:rFonts w:ascii="Calibri" w:hAnsi="Calibri"/>
          <w:b w:val="0"/>
          <w:i w:val="0"/>
          <w:color w:val="202020"/>
          <w:sz w:val="22"/>
        </w:rPr>
        <w:t>This solution automates the daily intake and reconciliation support process for bank activity in Yardi. Bank files are retrieved from bank or treasury-system locations, transformed where needed, imported into Yardi structures, matched against Yardi transactions, and surfaced through reports and launcher pages for review.</w:t>
      </w:r>
    </w:p>
    <w:p>
      <w:pPr>
        <w:spacing w:before="0" w:after="120" w:line="264" w:lineRule="auto"/>
      </w:pPr>
      <w:r>
        <w:rPr>
          <w:rFonts w:ascii="Calibri" w:hAnsi="Calibri"/>
          <w:b w:val="0"/>
          <w:i w:val="0"/>
          <w:color w:val="202020"/>
          <w:sz w:val="22"/>
        </w:rPr>
        <w:t>The design is deliberately modular: the base implementation covers file intake, import, matching, reporting, and monitoring; client-specific rules can then be added for bank references, deposit memos, payment processors, transaction codes, journals, and exception handling.</w:t>
      </w:r>
    </w:p>
    <w:p>
      <w:pPr>
        <w:pStyle w:val="Heading2"/>
        <w:spacing w:before="200" w:after="100" w:line="264" w:lineRule="auto"/>
      </w:pPr>
      <w:r>
        <w:rPr>
          <w:rFonts w:ascii="Calibri" w:hAnsi="Calibri"/>
          <w:b/>
          <w:color w:val="2E74B5"/>
          <w:sz w:val="26"/>
        </w:rPr>
        <w:t>Business value</w:t>
      </w:r>
    </w:p>
    <w:p>
      <w:pPr>
        <w:pStyle w:val="ListBullet"/>
        <w:spacing w:before="0" w:after="80" w:line="276" w:lineRule="auto"/>
      </w:pPr>
      <w:r>
        <w:rPr>
          <w:rFonts w:ascii="Calibri" w:hAnsi="Calibri"/>
          <w:color w:val="202020"/>
          <w:sz w:val="21"/>
        </w:rPr>
        <w:t>Reduces recurring manual file upload and transaction clearing work.</w:t>
      </w:r>
    </w:p>
    <w:p>
      <w:pPr>
        <w:pStyle w:val="ListBullet"/>
        <w:spacing w:before="0" w:after="80" w:line="276" w:lineRule="auto"/>
      </w:pPr>
      <w:r>
        <w:rPr>
          <w:rFonts w:ascii="Calibri" w:hAnsi="Calibri"/>
          <w:color w:val="202020"/>
          <w:sz w:val="21"/>
        </w:rPr>
        <w:t>Moves the accounting team toward exception-based review instead of line-by-line reconciliation.</w:t>
      </w:r>
    </w:p>
    <w:p>
      <w:pPr>
        <w:pStyle w:val="ListBullet"/>
        <w:spacing w:before="0" w:after="80" w:line="276" w:lineRule="auto"/>
      </w:pPr>
      <w:r>
        <w:rPr>
          <w:rFonts w:ascii="Calibri" w:hAnsi="Calibri"/>
          <w:color w:val="202020"/>
          <w:sz w:val="21"/>
        </w:rPr>
        <w:t>Creates clearer visibility into failed files, missing feeds, unmatched activity, balance discrepancies, and matching rates.</w:t>
      </w:r>
    </w:p>
    <w:p>
      <w:pPr>
        <w:pStyle w:val="ListBullet"/>
        <w:spacing w:before="0" w:after="80" w:line="276" w:lineRule="auto"/>
      </w:pPr>
      <w:r>
        <w:rPr>
          <w:rFonts w:ascii="Calibri" w:hAnsi="Calibri"/>
          <w:color w:val="202020"/>
          <w:sz w:val="21"/>
        </w:rPr>
        <w:t>Provides a repeatable onboarding model for additional banks and accounts after the first deployment.</w:t>
      </w:r>
    </w:p>
    <w:p>
      <w:pPr>
        <w:pStyle w:val="ListBullet"/>
        <w:spacing w:before="0" w:after="80" w:line="276" w:lineRule="auto"/>
      </w:pPr>
      <w:r>
        <w:rPr>
          <w:rFonts w:ascii="Calibri" w:hAnsi="Calibri"/>
          <w:color w:val="202020"/>
          <w:sz w:val="21"/>
        </w:rPr>
        <w:t>Keeps users working primarily in Yardi, using familiar bank reconciliation and reporting surfaces.</w:t>
      </w:r>
    </w:p>
    <w:p>
      <w:pPr>
        <w:pStyle w:val="Heading2"/>
        <w:spacing w:before="200" w:after="100" w:line="264" w:lineRule="auto"/>
      </w:pPr>
      <w:r>
        <w:rPr>
          <w:rFonts w:ascii="Calibri" w:hAnsi="Calibri"/>
          <w:b/>
          <w:color w:val="2E74B5"/>
          <w:sz w:val="26"/>
        </w:rPr>
        <w:t>Bank activity supported</w:t>
      </w:r>
    </w:p>
    <w:p>
      <w:pPr>
        <w:pStyle w:val="ListBullet"/>
        <w:spacing w:before="0" w:after="80" w:line="276" w:lineRule="auto"/>
      </w:pPr>
      <w:r>
        <w:rPr>
          <w:rFonts w:ascii="Calibri" w:hAnsi="Calibri"/>
          <w:color w:val="202020"/>
          <w:sz w:val="21"/>
        </w:rPr>
        <w:t>Checks, EFTs, wires, ACH activity, deposits, journals, bank service charges, interest, and other bank transaction families where the file provides reliable matching keys.</w:t>
      </w:r>
    </w:p>
    <w:p>
      <w:pPr>
        <w:pStyle w:val="ListBullet"/>
        <w:spacing w:before="0" w:after="80" w:line="276" w:lineRule="auto"/>
      </w:pPr>
      <w:r>
        <w:rPr>
          <w:rFonts w:ascii="Calibri" w:hAnsi="Calibri"/>
          <w:color w:val="202020"/>
          <w:sz w:val="21"/>
        </w:rPr>
        <w:t>Unlimited number of bank accounts can be supported; configuration effort depends on bank file consistency, account count, and matching complexity.</w:t>
      </w:r>
    </w:p>
    <w:p>
      <w:pPr>
        <w:pStyle w:val="ListBullet"/>
        <w:spacing w:before="0" w:after="80" w:line="276" w:lineRule="auto"/>
      </w:pPr>
      <w:r>
        <w:rPr>
          <w:rFonts w:ascii="Calibri" w:hAnsi="Calibri"/>
          <w:color w:val="202020"/>
          <w:sz w:val="21"/>
        </w:rPr>
        <w:t>Optional intraday files can be used for balance visibility where the bank or treasury platform supplies them.</w:t>
      </w:r>
    </w:p>
    <w:p>
      <w:pPr>
        <w:pStyle w:val="Heading2"/>
        <w:spacing w:before="200" w:after="100" w:line="264" w:lineRule="auto"/>
      </w:pPr>
      <w:r>
        <w:rPr>
          <w:rFonts w:ascii="Calibri" w:hAnsi="Calibri"/>
          <w:b/>
          <w:color w:val="2E74B5"/>
          <w:sz w:val="26"/>
        </w:rPr>
        <w:t>Direction of flow</w:t>
      </w:r>
    </w:p>
    <w:p>
      <w:pPr>
        <w:spacing w:before="0" w:after="120" w:line="264" w:lineRule="auto"/>
      </w:pPr>
      <w:r>
        <w:rPr>
          <w:rFonts w:ascii="Calibri" w:hAnsi="Calibri"/>
          <w:b w:val="0"/>
          <w:i w:val="0"/>
          <w:color w:val="202020"/>
          <w:sz w:val="22"/>
        </w:rPr>
        <w:t>The core flow is inbound: bank or Kyriba activity is imported into Yardi and used to support clearing, matching, reporting, and exception review. Optional outbound or generated files can be produced for journal automation or downstream support processes when the client enables those modules.</w:t>
      </w:r>
    </w:p>
    <w:p>
      <w:pPr>
        <w:pStyle w:val="Heading2"/>
        <w:spacing w:before="200" w:after="100" w:line="264" w:lineRule="auto"/>
      </w:pPr>
      <w:r>
        <w:rPr>
          <w:rFonts w:ascii="Calibri" w:hAnsi="Calibri"/>
          <w:b/>
          <w:color w:val="2E74B5"/>
          <w:sz w:val="26"/>
        </w:rPr>
        <w:t>Highlights for new clients</w:t>
      </w:r>
    </w:p>
    <w:p>
      <w:pPr>
        <w:pStyle w:val="ListBullet"/>
        <w:spacing w:before="0" w:after="80" w:line="276" w:lineRule="auto"/>
      </w:pPr>
      <w:r>
        <w:rPr>
          <w:rFonts w:ascii="Calibri" w:hAnsi="Calibri"/>
          <w:color w:val="202020"/>
          <w:sz w:val="21"/>
        </w:rPr>
        <w:t>No parallel bank-reconciliation data store is required; the implementation extends the Yardi environment.</w:t>
      </w:r>
    </w:p>
    <w:p>
      <w:pPr>
        <w:pStyle w:val="ListBullet"/>
        <w:spacing w:before="0" w:after="80" w:line="276" w:lineRule="auto"/>
      </w:pPr>
      <w:r>
        <w:rPr>
          <w:rFonts w:ascii="Calibri" w:hAnsi="Calibri"/>
          <w:color w:val="202020"/>
          <w:sz w:val="21"/>
        </w:rPr>
        <w:t>Custom reports are provided for imported transactions, matching rates, failed files, file logs, balance checks, and discrepancies.</w:t>
      </w:r>
    </w:p>
    <w:p>
      <w:pPr>
        <w:pStyle w:val="ListBullet"/>
        <w:spacing w:before="0" w:after="80" w:line="276" w:lineRule="auto"/>
      </w:pPr>
      <w:r>
        <w:rPr>
          <w:rFonts w:ascii="Calibri" w:hAnsi="Calibri"/>
          <w:color w:val="202020"/>
          <w:sz w:val="21"/>
        </w:rPr>
        <w:t>Matching rules are configurable by transaction type and by the quality of available bank reference data.</w:t>
      </w:r>
    </w:p>
    <w:p>
      <w:pPr>
        <w:pStyle w:val="ListBullet"/>
        <w:spacing w:before="0" w:after="80" w:line="276" w:lineRule="auto"/>
      </w:pPr>
      <w:r>
        <w:rPr>
          <w:rFonts w:ascii="Calibri" w:hAnsi="Calibri"/>
          <w:color w:val="202020"/>
          <w:sz w:val="21"/>
        </w:rPr>
        <w:t>Interest and service-charge journal generation can be added where the client approves GL coding and workflow behavior.</w:t>
      </w:r>
    </w:p>
    <w:p>
      <w:pPr>
        <w:pStyle w:val="ListBullet"/>
        <w:spacing w:before="0" w:after="80" w:line="276" w:lineRule="auto"/>
      </w:pPr>
      <w:r>
        <w:rPr>
          <w:rFonts w:ascii="Calibri" w:hAnsi="Calibri"/>
          <w:color w:val="202020"/>
          <w:sz w:val="21"/>
        </w:rPr>
        <w:t>The solution can start conservatively, then expand rules after the first close cycle proves the data patterns.</w:t>
      </w:r>
    </w:p>
    <w:p>
      <w:pPr>
        <w:pStyle w:val="Heading1"/>
        <w:spacing w:before="320" w:after="160" w:line="264" w:lineRule="auto"/>
      </w:pPr>
      <w:r>
        <w:rPr>
          <w:rFonts w:ascii="Calibri" w:hAnsi="Calibri"/>
          <w:b/>
          <w:color w:val="2E74B5"/>
          <w:sz w:val="32"/>
        </w:rPr>
        <w:t>2. Architecture &amp; Data Flow</w:t>
      </w:r>
    </w:p>
    <w:p>
      <w:pPr>
        <w:spacing w:before="0" w:after="120" w:line="264" w:lineRule="auto"/>
      </w:pPr>
      <w:r>
        <w:rPr>
          <w:rFonts w:ascii="Calibri" w:hAnsi="Calibri"/>
          <w:b w:val="0"/>
          <w:i w:val="0"/>
          <w:color w:val="202020"/>
          <w:sz w:val="22"/>
        </w:rPr>
        <w:t>The solution is composed of standard Yardi task chains, package-delivered SQL objects, custom reports, file-server folders, and helper scripts for file movement or conversion. There is no standalone reconciliation application to maintain.</w:t>
      </w:r>
    </w:p>
    <w:p>
      <w:pPr>
        <w:pStyle w:val="Heading2"/>
        <w:spacing w:before="200" w:after="100" w:line="264" w:lineRule="auto"/>
      </w:pPr>
      <w:r>
        <w:rPr>
          <w:rFonts w:ascii="Calibri" w:hAnsi="Calibri"/>
          <w:b/>
          <w:color w:val="2E74B5"/>
          <w:sz w:val="26"/>
        </w:rPr>
        <w:t>2.1 Visual flow</w:t>
      </w:r>
    </w:p>
    <w:tbl>
      <w:tblPr>
        <w:tblStyle w:val="TableGrid"/>
        <w:tblW w:type="auto" w:w="0"/>
        <w:jc w:val="center"/>
        <w:tblLayout w:type="fixed"/>
        <w:tblLook w:firstColumn="1" w:firstRow="1" w:lastColumn="0" w:lastRow="0" w:noHBand="0" w:noVBand="1" w:val="04A0"/>
      </w:tblPr>
      <w:tblGrid>
        <w:gridCol w:w="9360"/>
      </w:tblGrid>
      <w:tr>
        <w:tc>
          <w:tcPr>
            <w:tcW w:type="dxa" w:w="9072"/>
            <w:tcMar>
              <w:top w:w="90" w:type="dxa"/>
              <w:start w:w="120" w:type="dxa"/>
              <w:bottom w:w="90" w:type="dxa"/>
              <w:end w:w="120" w:type="dxa"/>
            </w:tcMar>
            <w:vAlign w:val="center"/>
            <w:shd w:fill="E8EEF5"/>
          </w:tcPr>
          <w:p>
            <w:pPr>
              <w:spacing w:before="0" w:after="40" w:line="259" w:lineRule="auto"/>
            </w:pPr>
            <w:r>
              <w:rPr>
                <w:rFonts w:ascii="Calibri" w:hAnsi="Calibri"/>
                <w:b/>
                <w:color w:val="1F4D78"/>
                <w:sz w:val="20"/>
              </w:rPr>
              <w:t>END-TO-END FLOW</w:t>
              <w:br/>
            </w:r>
            <w:r>
              <w:rPr>
                <w:rFonts w:ascii="Calibri" w:hAnsi="Calibri"/>
                <w:color w:val="202020"/>
                <w:sz w:val="20"/>
              </w:rPr>
              <w:t>Bank / Kyriba / Treasury platform -&gt; Yardi file server folders -&gt; validation and conversion -&gt; Yardi import task -&gt; bank transaction tables -&gt; matching routines -&gt; cleared items, reports, exceptions, and optional journal output</w:t>
            </w:r>
          </w:p>
        </w:tc>
      </w:tr>
    </w:tbl>
    <w:p>
      <w:pPr>
        <w:spacing w:after="40"/>
      </w:pPr>
    </w:p>
    <w:p>
      <w:pPr>
        <w:pStyle w:val="Heading2"/>
        <w:spacing w:before="200" w:after="100" w:line="264" w:lineRule="auto"/>
      </w:pPr>
      <w:r>
        <w:rPr>
          <w:rFonts w:ascii="Calibri" w:hAnsi="Calibri"/>
          <w:b/>
          <w:color w:val="2E74B5"/>
          <w:sz w:val="26"/>
        </w:rPr>
        <w:t>2.2 Inbound bank-file flow</w:t>
      </w:r>
    </w:p>
    <w:p>
      <w:pPr>
        <w:pStyle w:val="ListNumber"/>
        <w:spacing w:before="0" w:after="80" w:line="276" w:lineRule="auto"/>
      </w:pPr>
      <w:r>
        <w:rPr>
          <w:rFonts w:ascii="Calibri" w:hAnsi="Calibri"/>
          <w:color w:val="202020"/>
          <w:sz w:val="21"/>
        </w:rPr>
        <w:t>Bank activity files are delivered by the bank, Kyriba, or another treasury platform to an agreed SFTP or file location.</w:t>
      </w:r>
    </w:p>
    <w:p>
      <w:pPr>
        <w:pStyle w:val="ListNumber"/>
        <w:spacing w:before="0" w:after="80" w:line="276" w:lineRule="auto"/>
      </w:pPr>
      <w:r>
        <w:rPr>
          <w:rFonts w:ascii="Calibri" w:hAnsi="Calibri"/>
          <w:color w:val="202020"/>
          <w:sz w:val="21"/>
        </w:rPr>
        <w:t>A scheduled script or task step moves the file into the Yardi interface folder structure.</w:t>
      </w:r>
    </w:p>
    <w:p>
      <w:pPr>
        <w:pStyle w:val="ListNumber"/>
        <w:spacing w:before="0" w:after="80" w:line="276" w:lineRule="auto"/>
      </w:pPr>
      <w:r>
        <w:rPr>
          <w:rFonts w:ascii="Calibri" w:hAnsi="Calibri"/>
          <w:color w:val="202020"/>
          <w:sz w:val="21"/>
        </w:rPr>
        <w:t>Validation routines check file structure and expected content before downstream processing.</w:t>
      </w:r>
    </w:p>
    <w:p>
      <w:pPr>
        <w:pStyle w:val="ListNumber"/>
        <w:spacing w:before="0" w:after="80" w:line="276" w:lineRule="auto"/>
      </w:pPr>
      <w:r>
        <w:rPr>
          <w:rFonts w:ascii="Calibri" w:hAnsi="Calibri"/>
          <w:color w:val="202020"/>
          <w:sz w:val="21"/>
        </w:rPr>
        <w:t>Where needed, conversion scripts normalize files into the Yardi-compliant import format.</w:t>
      </w:r>
    </w:p>
    <w:p>
      <w:pPr>
        <w:pStyle w:val="ListNumber"/>
        <w:spacing w:before="0" w:after="80" w:line="276" w:lineRule="auto"/>
      </w:pPr>
      <w:r>
        <w:rPr>
          <w:rFonts w:ascii="Calibri" w:hAnsi="Calibri"/>
          <w:color w:val="202020"/>
          <w:sz w:val="21"/>
        </w:rPr>
        <w:t>The Yardi import task loads activity into the configured custom tables or foreign database groups.</w:t>
      </w:r>
    </w:p>
    <w:p>
      <w:pPr>
        <w:pStyle w:val="ListNumber"/>
        <w:spacing w:before="0" w:after="80" w:line="276" w:lineRule="auto"/>
      </w:pPr>
      <w:r>
        <w:rPr>
          <w:rFonts w:ascii="Calibri" w:hAnsi="Calibri"/>
          <w:color w:val="202020"/>
          <w:sz w:val="21"/>
        </w:rPr>
        <w:t>Matching routines evaluate imported activity against Yardi bank reconciliation transactions and related source records.</w:t>
      </w:r>
    </w:p>
    <w:p>
      <w:pPr>
        <w:pStyle w:val="ListNumber"/>
        <w:spacing w:before="0" w:after="80" w:line="276" w:lineRule="auto"/>
      </w:pPr>
      <w:r>
        <w:rPr>
          <w:rFonts w:ascii="Calibri" w:hAnsi="Calibri"/>
          <w:color w:val="202020"/>
          <w:sz w:val="21"/>
        </w:rPr>
        <w:t>Users review results through the Bank Reconciliation Launcher and supporting reports.</w:t>
      </w:r>
    </w:p>
    <w:p>
      <w:pPr>
        <w:pStyle w:val="Heading2"/>
        <w:spacing w:before="200" w:after="100" w:line="264" w:lineRule="auto"/>
      </w:pPr>
      <w:r>
        <w:rPr>
          <w:rFonts w:ascii="Calibri" w:hAnsi="Calibri"/>
          <w:b/>
          <w:color w:val="2E74B5"/>
          <w:sz w:val="26"/>
        </w:rPr>
        <w:t>2.3 Optional journal flow</w:t>
      </w:r>
    </w:p>
    <w:p>
      <w:pPr>
        <w:spacing w:before="0" w:after="120" w:line="264" w:lineRule="auto"/>
      </w:pPr>
      <w:r>
        <w:rPr>
          <w:rFonts w:ascii="Calibri" w:hAnsi="Calibri"/>
          <w:b w:val="0"/>
          <w:i w:val="0"/>
          <w:color w:val="202020"/>
          <w:sz w:val="22"/>
        </w:rPr>
        <w:t>When enabled, selected bank transaction codes can create journal files or batches for items such as interest income and bank service charges. The client defines the GL accounts, descriptions, workflow handling, and posting policy. This module should be tested separately from basic bank-file import because it has accounting impact beyond clearing support.</w:t>
      </w:r>
    </w:p>
    <w:p>
      <w:pPr>
        <w:pStyle w:val="Heading2"/>
        <w:spacing w:before="200" w:after="100" w:line="264" w:lineRule="auto"/>
      </w:pPr>
      <w:r>
        <w:rPr>
          <w:rFonts w:ascii="Calibri" w:hAnsi="Calibri"/>
          <w:b/>
          <w:color w:val="2E74B5"/>
          <w:sz w:val="26"/>
        </w:rPr>
        <w:t>2.4 Components inventory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Component</w:t>
            </w:r>
          </w:p>
        </w:tc>
        <w:tc>
          <w:tcPr>
            <w:tcW w:type="dxa" w:w="302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Type</w:t>
            </w:r>
          </w:p>
        </w:tc>
        <w:tc>
          <w:tcPr>
            <w:tcW w:type="dxa" w:w="288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Hosted in</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ImportBAI / bank import task</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task chain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validation routines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SQL Server package objects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database</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Matching routines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SQL Server stored procedures and packages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database</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BAI2 / MT940 / CAMT53 conversion helpers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PowerShell and parsing scripts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file server / AppTask path</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Reconciliation Launcher</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Custom correspondence/report launcher</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front end</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List Bank Transactions report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Custom report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reports folder</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Matching Rate report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Custom report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reports folder</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BAI2 Files Log and Failed Files reports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Custom reports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reports folder</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Balances and Balance Discrepancies reports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Custom reports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reports folder</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Optional journal automation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SQL packages and file output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Yardi database and file folders</w:t>
            </w:r>
          </w:p>
        </w:tc>
      </w:tr>
    </w:tbl>
    <w:p>
      <w:pPr>
        <w:spacing w:after="80"/>
      </w:pPr>
    </w:p>
    <w:p>
      <w:pPr>
        <w:pStyle w:val="Heading2"/>
        <w:spacing w:before="200" w:after="100" w:line="264" w:lineRule="auto"/>
      </w:pPr>
      <w:r>
        <w:rPr>
          <w:rFonts w:ascii="Calibri" w:hAnsi="Calibri"/>
          <w:b/>
          <w:color w:val="2E74B5"/>
          <w:sz w:val="26"/>
        </w:rPr>
        <w:t>2.5 File-server folder structure</w:t>
      </w:r>
    </w:p>
    <w:p>
      <w:pPr>
        <w:spacing w:before="0" w:after="120" w:line="264" w:lineRule="auto"/>
      </w:pPr>
      <w:r>
        <w:rPr>
          <w:rFonts w:ascii="Calibri" w:hAnsi="Calibri"/>
          <w:b w:val="0"/>
          <w:i w:val="0"/>
          <w:color w:val="202020"/>
          <w:sz w:val="22"/>
        </w:rPr>
        <w:t>Folder names can be adjusted to the client standard, but the implementation needs separate locations for inbound files, logs, scripts, journal output, and processed-file archive. A common baseline is shown below.</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Folder</w:t>
            </w:r>
          </w:p>
        </w:tc>
        <w:tc>
          <w:tcPr>
            <w:tcW w:type="dxa" w:w="590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Purpose</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Interfaces\Bank\BAI2</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Inbound bank activity files staged for validation and import.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Interfaces\Bank\BAI2Logs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Task and processing logs used for troubleshooting and audit review.</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Interfaces\Bank\JE</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Optional journal files generated from bank activity such as interest or service charges.</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Interfaces\Bank\Scripts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Client-customized PowerShell or batch scripts used by task steps.</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Interfaces\Bank\Success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Processed-file archive for files that completed successfully.</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Interfaces\Bank\Error or Failed</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Recommended holding area for files that fail validation or import and require investigation.</w:t>
            </w:r>
          </w:p>
        </w:tc>
      </w:tr>
    </w:tbl>
    <w:p>
      <w:pPr>
        <w:spacing w:after="80"/>
      </w:pPr>
    </w:p>
    <w:p>
      <w:pPr>
        <w:pStyle w:val="Heading1"/>
        <w:spacing w:before="320" w:after="160" w:line="264" w:lineRule="auto"/>
      </w:pPr>
      <w:r>
        <w:rPr>
          <w:rFonts w:ascii="Calibri" w:hAnsi="Calibri"/>
          <w:b/>
          <w:color w:val="2E74B5"/>
          <w:sz w:val="32"/>
        </w:rPr>
        <w:t>3. Bank File Specifications</w:t>
      </w:r>
    </w:p>
    <w:p>
      <w:pPr>
        <w:pStyle w:val="Heading2"/>
        <w:spacing w:before="200" w:after="100" w:line="264" w:lineRule="auto"/>
      </w:pPr>
      <w:r>
        <w:rPr>
          <w:rFonts w:ascii="Calibri" w:hAnsi="Calibri"/>
          <w:b/>
          <w:color w:val="2E74B5"/>
          <w:sz w:val="26"/>
        </w:rPr>
        <w:t>3.1 Supported file formats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Format</w:t>
            </w:r>
          </w:p>
        </w:tc>
        <w:tc>
          <w:tcPr>
            <w:tcW w:type="dxa" w:w="316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Typical use</w:t>
            </w:r>
          </w:p>
        </w:tc>
        <w:tc>
          <w:tcPr>
            <w:tcW w:type="dxa" w:w="432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Notes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BAI2</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Primary North American bank activity feed pattern.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Most common baseline for the solution; bank type codes drive many matching and journal rules.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MT940</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International or non-US bank statement feed pattern.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Supported through client-specific parsing and conversion where required.</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CAMT53</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ISO 20022 bank statement feed pattern.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Useful for banks or treasury systems moving to ISO XML statement files.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Client-specific variants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or treasury-system exports with local conventions.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Can be supported when the file provides stable account, date, amount, reference, and type-code fields.</w:t>
            </w:r>
          </w:p>
        </w:tc>
      </w:tr>
    </w:tbl>
    <w:p>
      <w:pPr>
        <w:spacing w:after="80"/>
      </w:pPr>
    </w:p>
    <w:p>
      <w:pPr>
        <w:pStyle w:val="Heading2"/>
        <w:spacing w:before="200" w:after="100" w:line="264" w:lineRule="auto"/>
      </w:pPr>
      <w:r>
        <w:rPr>
          <w:rFonts w:ascii="Calibri" w:hAnsi="Calibri"/>
          <w:b/>
          <w:color w:val="2E74B5"/>
          <w:sz w:val="26"/>
        </w:rPr>
        <w:t>3.2 Filename conventions</w:t>
      </w:r>
    </w:p>
    <w:p>
      <w:pPr>
        <w:spacing w:before="0" w:after="120" w:line="264" w:lineRule="auto"/>
      </w:pPr>
      <w:r>
        <w:rPr>
          <w:rFonts w:ascii="Calibri" w:hAnsi="Calibri"/>
          <w:b w:val="0"/>
          <w:i w:val="0"/>
          <w:color w:val="202020"/>
          <w:sz w:val="22"/>
        </w:rPr>
        <w:t>Filename conventions are usually driven by the bank, Kyriba, or the client treasury platform. The import process should not depend on fragile filenames unless the source system provides no better identifier. Recommended practice is to use file content, account identifiers, and task logs as the primary audit trail.</w:t>
      </w:r>
    </w:p>
    <w:p>
      <w:pPr>
        <w:pStyle w:val="Heading2"/>
        <w:spacing w:before="200" w:after="100" w:line="264" w:lineRule="auto"/>
      </w:pPr>
      <w:r>
        <w:rPr>
          <w:rFonts w:ascii="Calibri" w:hAnsi="Calibri"/>
          <w:b/>
          <w:color w:val="2E74B5"/>
          <w:sz w:val="26"/>
        </w:rPr>
        <w:t>3.3 Yardi-side data sources</w:t>
      </w:r>
    </w:p>
    <w:p>
      <w:pPr>
        <w:pStyle w:val="ListBullet"/>
        <w:spacing w:before="0" w:after="80" w:line="276" w:lineRule="auto"/>
      </w:pPr>
      <w:r>
        <w:rPr>
          <w:rFonts w:ascii="Calibri" w:hAnsi="Calibri"/>
          <w:color w:val="202020"/>
          <w:sz w:val="21"/>
        </w:rPr>
        <w:t>Yardi bank account setup and bank reconciliation transaction data are the primary matching targets.</w:t>
      </w:r>
    </w:p>
    <w:p>
      <w:pPr>
        <w:pStyle w:val="ListBullet"/>
        <w:spacing w:before="0" w:after="80" w:line="276" w:lineRule="auto"/>
      </w:pPr>
      <w:r>
        <w:rPr>
          <w:rFonts w:ascii="Calibri" w:hAnsi="Calibri"/>
          <w:color w:val="202020"/>
          <w:sz w:val="21"/>
        </w:rPr>
        <w:t>Payment, deposit, journal, and bank reconciliation records provide dates, amounts, check numbers, bank references, deposit numbers, and memo fields used for matching.</w:t>
      </w:r>
    </w:p>
    <w:p>
      <w:pPr>
        <w:pStyle w:val="ListBullet"/>
        <w:spacing w:before="0" w:after="80" w:line="276" w:lineRule="auto"/>
      </w:pPr>
      <w:r>
        <w:rPr>
          <w:rFonts w:ascii="Calibri" w:hAnsi="Calibri"/>
          <w:color w:val="202020"/>
          <w:sz w:val="21"/>
        </w:rPr>
        <w:t>Custom tables or foreign database groups hold imported bank activity and processing logs.</w:t>
      </w:r>
    </w:p>
    <w:p>
      <w:pPr>
        <w:pStyle w:val="ListBullet"/>
        <w:spacing w:before="0" w:after="80" w:line="276" w:lineRule="auto"/>
      </w:pPr>
      <w:r>
        <w:rPr>
          <w:rFonts w:ascii="Calibri" w:hAnsi="Calibri"/>
          <w:color w:val="202020"/>
          <w:sz w:val="21"/>
        </w:rPr>
        <w:t>Optional journal automation uses client-approved GL accounts, descriptions, workflows, and posting controls.</w:t>
      </w:r>
    </w:p>
    <w:p>
      <w:pPr>
        <w:pStyle w:val="Heading2"/>
        <w:spacing w:before="200" w:after="100" w:line="264" w:lineRule="auto"/>
      </w:pPr>
      <w:r>
        <w:rPr>
          <w:rFonts w:ascii="Calibri" w:hAnsi="Calibri"/>
          <w:b/>
          <w:color w:val="2E74B5"/>
          <w:sz w:val="26"/>
        </w:rPr>
        <w:t>3.4 Status and exception categories surfaced to users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Category</w:t>
            </w:r>
          </w:p>
        </w:tc>
        <w:tc>
          <w:tcPr>
            <w:tcW w:type="dxa" w:w="3672"/>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Meaning</w:t>
            </w:r>
          </w:p>
        </w:tc>
        <w:tc>
          <w:tcPr>
            <w:tcW w:type="dxa" w:w="316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Where reviewed</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Imported</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was loaded and transaction rows are available for matching.</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BAI2 Files Log / List Bank Transactions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Failed import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failed structure, parsing, conversion, or import processing.</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Failed Files report and Yardi task log</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Matched / cleared</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Imported item found an acceptable Yardi-side match and was cleared or marked for clearing.</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reconciliation screens and matching reports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Unmatched</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Imported item requires user review or a new rule.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List Bank Transactions / launcher views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Balance discrepancy</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file balance and Yardi-side balance checks do not align.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Balances and Balance Discrepancies reports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Journal generated</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Optional journal automation created output for configured bank activity.</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JE folder, journal reports, and Yardi review workflow</w:t>
            </w:r>
          </w:p>
        </w:tc>
      </w:tr>
    </w:tbl>
    <w:p>
      <w:pPr>
        <w:spacing w:after="80"/>
      </w:pPr>
    </w:p>
    <w:p>
      <w:pPr>
        <w:pStyle w:val="Heading1"/>
        <w:spacing w:before="320" w:after="160" w:line="264" w:lineRule="auto"/>
      </w:pPr>
      <w:r>
        <w:rPr>
          <w:rFonts w:ascii="Calibri" w:hAnsi="Calibri"/>
          <w:b/>
          <w:color w:val="2E74B5"/>
          <w:sz w:val="32"/>
        </w:rPr>
        <w:t>4. File Transfer &amp; Connectivity</w:t>
      </w:r>
    </w:p>
    <w:p>
      <w:pPr>
        <w:spacing w:before="0" w:after="120" w:line="264" w:lineRule="auto"/>
      </w:pPr>
      <w:r>
        <w:rPr>
          <w:rFonts w:ascii="Calibri" w:hAnsi="Calibri"/>
          <w:b w:val="0"/>
          <w:i w:val="0"/>
          <w:color w:val="202020"/>
          <w:sz w:val="22"/>
        </w:rPr>
        <w:t>Connectivity is coordinated between the client, bank or treasury platform, Yardi hosting/support, and the implementation team. The technical pattern depends on whether files come directly from banks, through Kyriba, or from a client-controlled source location.</w:t>
      </w:r>
    </w:p>
    <w:p>
      <w:pPr>
        <w:pStyle w:val="Heading2"/>
        <w:spacing w:before="200" w:after="100" w:line="264" w:lineRule="auto"/>
      </w:pPr>
      <w:r>
        <w:rPr>
          <w:rFonts w:ascii="Calibri" w:hAnsi="Calibri"/>
          <w:b/>
          <w:color w:val="2E74B5"/>
          <w:sz w:val="26"/>
        </w:rPr>
        <w:t>4.1 SFTP and source location details</w:t>
      </w:r>
    </w:p>
    <w:p>
      <w:pPr>
        <w:pStyle w:val="ListBullet"/>
        <w:spacing w:before="0" w:after="80" w:line="276" w:lineRule="auto"/>
      </w:pPr>
      <w:r>
        <w:rPr>
          <w:rFonts w:ascii="Calibri" w:hAnsi="Calibri"/>
          <w:color w:val="202020"/>
          <w:sz w:val="21"/>
        </w:rPr>
        <w:t>Confirm host, port, authentication model, inbound path, archive path, file naming convention, and expected delivery time.</w:t>
      </w:r>
    </w:p>
    <w:p>
      <w:pPr>
        <w:pStyle w:val="ListBullet"/>
        <w:spacing w:before="0" w:after="80" w:line="276" w:lineRule="auto"/>
      </w:pPr>
      <w:r>
        <w:rPr>
          <w:rFonts w:ascii="Calibri" w:hAnsi="Calibri"/>
          <w:color w:val="202020"/>
          <w:sz w:val="21"/>
        </w:rPr>
        <w:t>Confirm whether the Yardi task server can reach the source directly or whether files must first be staged by the client.</w:t>
      </w:r>
    </w:p>
    <w:p>
      <w:pPr>
        <w:pStyle w:val="ListBullet"/>
        <w:spacing w:before="0" w:after="80" w:line="276" w:lineRule="auto"/>
      </w:pPr>
      <w:r>
        <w:rPr>
          <w:rFonts w:ascii="Calibri" w:hAnsi="Calibri"/>
          <w:color w:val="202020"/>
          <w:sz w:val="21"/>
        </w:rPr>
        <w:t>Collect representative historical files and current-day files before configuration begins.</w:t>
      </w:r>
    </w:p>
    <w:p>
      <w:pPr>
        <w:pStyle w:val="Heading2"/>
        <w:spacing w:before="200" w:after="100" w:line="264" w:lineRule="auto"/>
      </w:pPr>
      <w:r>
        <w:rPr>
          <w:rFonts w:ascii="Calibri" w:hAnsi="Calibri"/>
          <w:b/>
          <w:color w:val="2E74B5"/>
          <w:sz w:val="26"/>
        </w:rPr>
        <w:t>4.2 Encryption and credentials</w:t>
      </w:r>
    </w:p>
    <w:p>
      <w:pPr>
        <w:spacing w:before="0" w:after="120" w:line="264" w:lineRule="auto"/>
      </w:pPr>
      <w:r>
        <w:rPr>
          <w:rFonts w:ascii="Calibri" w:hAnsi="Calibri"/>
          <w:b w:val="0"/>
          <w:i w:val="0"/>
          <w:color w:val="202020"/>
          <w:sz w:val="22"/>
        </w:rPr>
        <w:t>If the bank or treasury platform requires PGP or key-based SFTP, credentials and keys should be exchanged through the client-approved secure process. Private keys and passwords should be treated as production credentials and stored only in approved Yardi or client secure configuration locations.</w:t>
      </w:r>
    </w:p>
    <w:tbl>
      <w:tblPr>
        <w:tblStyle w:val="TableGrid"/>
        <w:tblW w:type="auto" w:w="0"/>
        <w:jc w:val="center"/>
        <w:tblLayout w:type="fixed"/>
        <w:tblLook w:firstColumn="1" w:firstRow="1" w:lastColumn="0" w:lastRow="0" w:noHBand="0" w:noVBand="1" w:val="04A0"/>
      </w:tblPr>
      <w:tblGrid>
        <w:gridCol w:w="9360"/>
      </w:tblGrid>
      <w:tr>
        <w:tc>
          <w:tcPr>
            <w:tcW w:type="dxa" w:w="9072"/>
            <w:tcMar>
              <w:top w:w="90" w:type="dxa"/>
              <w:start w:w="120" w:type="dxa"/>
              <w:bottom w:w="90" w:type="dxa"/>
              <w:end w:w="120" w:type="dxa"/>
            </w:tcMar>
            <w:vAlign w:val="center"/>
            <w:shd w:fill="FFF2CC"/>
          </w:tcPr>
          <w:p>
            <w:pPr>
              <w:spacing w:before="0" w:after="40" w:line="259" w:lineRule="auto"/>
            </w:pPr>
            <w:r>
              <w:rPr>
                <w:rFonts w:ascii="Calibri" w:hAnsi="Calibri"/>
                <w:b/>
                <w:color w:val="1F4D78"/>
                <w:sz w:val="20"/>
              </w:rPr>
              <w:t>SECURITY</w:t>
              <w:br/>
            </w:r>
            <w:r>
              <w:rPr>
                <w:rFonts w:ascii="Calibri" w:hAnsi="Calibri"/>
                <w:color w:val="202020"/>
                <w:sz w:val="20"/>
              </w:rPr>
              <w:t>Do not email private keys, passwords, or unmasked bank account details. Use the client-approved secure exchange process and keep credential ownership clear between client IT, Yardi support, and the bank.</w:t>
            </w:r>
          </w:p>
        </w:tc>
      </w:tr>
    </w:tbl>
    <w:p>
      <w:pPr>
        <w:spacing w:after="40"/>
      </w:pPr>
    </w:p>
    <w:p>
      <w:pPr>
        <w:pStyle w:val="Heading2"/>
        <w:spacing w:before="200" w:after="100" w:line="264" w:lineRule="auto"/>
      </w:pPr>
      <w:r>
        <w:rPr>
          <w:rFonts w:ascii="Calibri" w:hAnsi="Calibri"/>
          <w:b/>
          <w:color w:val="2E74B5"/>
          <w:sz w:val="26"/>
        </w:rPr>
        <w:t>4.3 Test environments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Environment</w:t>
            </w:r>
          </w:p>
        </w:tc>
        <w:tc>
          <w:tcPr>
            <w:tcW w:type="dxa" w:w="324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Purpose</w:t>
            </w:r>
          </w:p>
        </w:tc>
        <w:tc>
          <w:tcPr>
            <w:tcW w:type="dxa" w:w="3456"/>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Typical activity</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Client test / sandbox</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Validate import, conversion, matching, reports, and journal behavior.</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Load historical files, tune rules, confirm expected clearing.</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 treasury UAT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Validate file delivery and connectivity.</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Confirm file timing, naming, credentials, and encryption.</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Production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Run scheduled daily processing.</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Monitor initial files and matching during hypercare.</w:t>
            </w:r>
          </w:p>
        </w:tc>
      </w:tr>
    </w:tbl>
    <w:p>
      <w:pPr>
        <w:spacing w:after="80"/>
      </w:pPr>
    </w:p>
    <w:p>
      <w:pPr>
        <w:pStyle w:val="Heading1"/>
        <w:spacing w:before="320" w:after="160" w:line="264" w:lineRule="auto"/>
      </w:pPr>
      <w:r>
        <w:rPr>
          <w:rFonts w:ascii="Calibri" w:hAnsi="Calibri"/>
          <w:b/>
          <w:color w:val="2E74B5"/>
          <w:sz w:val="32"/>
        </w:rPr>
        <w:t>5. Scheduling &amp; Triggers</w:t>
      </w:r>
    </w:p>
    <w:p>
      <w:pPr>
        <w:pStyle w:val="Heading2"/>
        <w:spacing w:before="200" w:after="100" w:line="264" w:lineRule="auto"/>
      </w:pPr>
      <w:r>
        <w:rPr>
          <w:rFonts w:ascii="Calibri" w:hAnsi="Calibri"/>
          <w:b/>
          <w:color w:val="2E74B5"/>
          <w:sz w:val="26"/>
        </w:rPr>
        <w:t>5.1 Scheduling model</w:t>
      </w:r>
    </w:p>
    <w:p>
      <w:pPr>
        <w:spacing w:before="0" w:after="120" w:line="264" w:lineRule="auto"/>
      </w:pPr>
      <w:r>
        <w:rPr>
          <w:rFonts w:ascii="Calibri" w:hAnsi="Calibri"/>
          <w:b w:val="0"/>
          <w:i w:val="0"/>
          <w:color w:val="202020"/>
          <w:sz w:val="22"/>
        </w:rPr>
        <w:t>Most clients run the bank import task once each morning after bank files are expected to arrive. Clients with intraday balance requirements or multiple bank delivery windows can run additional scheduled cycles. The schedule should reflect bank delivery time, accounting team start time, and month-end close needs.</w:t>
      </w:r>
    </w:p>
    <w:p>
      <w:pPr>
        <w:pStyle w:val="Heading2"/>
        <w:spacing w:before="200" w:after="100" w:line="264" w:lineRule="auto"/>
      </w:pPr>
      <w:r>
        <w:rPr>
          <w:rFonts w:ascii="Calibri" w:hAnsi="Calibri"/>
          <w:b/>
          <w:color w:val="2E74B5"/>
          <w:sz w:val="26"/>
        </w:rPr>
        <w:t>5.2 Ad hoc execution</w:t>
      </w:r>
    </w:p>
    <w:p>
      <w:pPr>
        <w:spacing w:before="0" w:after="120" w:line="264" w:lineRule="auto"/>
      </w:pPr>
      <w:r>
        <w:rPr>
          <w:rFonts w:ascii="Calibri" w:hAnsi="Calibri"/>
          <w:b w:val="0"/>
          <w:i w:val="0"/>
          <w:color w:val="202020"/>
          <w:sz w:val="22"/>
        </w:rPr>
        <w:t>Authorized users or administrators can run the task manually when a file is re-sent, a failed file is corrected, or a one-off validation is needed. Ad hoc execution should be logged and coordinated during production support so duplicate files are not imported accidentally.</w:t>
      </w:r>
    </w:p>
    <w:p>
      <w:pPr>
        <w:pStyle w:val="Heading2"/>
        <w:spacing w:before="200" w:after="100" w:line="264" w:lineRule="auto"/>
      </w:pPr>
      <w:r>
        <w:rPr>
          <w:rFonts w:ascii="Calibri" w:hAnsi="Calibri"/>
          <w:b/>
          <w:color w:val="2E74B5"/>
          <w:sz w:val="26"/>
        </w:rPr>
        <w:t>5.3 Cutoff times and time zones</w:t>
      </w:r>
    </w:p>
    <w:p>
      <w:pPr>
        <w:spacing w:before="0" w:after="120" w:line="264" w:lineRule="auto"/>
      </w:pPr>
      <w:r>
        <w:rPr>
          <w:rFonts w:ascii="Calibri" w:hAnsi="Calibri"/>
          <w:b w:val="0"/>
          <w:i w:val="0"/>
          <w:color w:val="202020"/>
          <w:sz w:val="22"/>
        </w:rPr>
        <w:t>Schedules should be defined in the Yardi server time zone and coordinated against bank file availability. For multi-region clients, confirm whether bank files represent local bank dates, treasury platform dates, or Yardi server dates before designing matching rules.</w:t>
      </w:r>
    </w:p>
    <w:p>
      <w:pPr>
        <w:pStyle w:val="Heading1"/>
        <w:spacing w:before="320" w:after="160" w:line="264" w:lineRule="auto"/>
      </w:pPr>
      <w:r>
        <w:rPr>
          <w:rFonts w:ascii="Calibri" w:hAnsi="Calibri"/>
          <w:b/>
          <w:color w:val="2E74B5"/>
          <w:sz w:val="32"/>
        </w:rPr>
        <w:t>6. Error Handling, Monitoring &amp; Recovery</w:t>
      </w:r>
    </w:p>
    <w:p>
      <w:pPr>
        <w:pStyle w:val="Heading2"/>
        <w:spacing w:before="200" w:after="100" w:line="264" w:lineRule="auto"/>
      </w:pPr>
      <w:r>
        <w:rPr>
          <w:rFonts w:ascii="Calibri" w:hAnsi="Calibri"/>
          <w:b/>
          <w:color w:val="2E74B5"/>
          <w:sz w:val="26"/>
        </w:rPr>
        <w:t>6.1 Operating reports</w:t>
      </w:r>
    </w:p>
    <w:tbl>
      <w:tblPr>
        <w:tblStyle w:val="TableGrid"/>
        <w:tblW w:type="auto" w:w="0"/>
        <w:jc w:val="center"/>
        <w:tblLayout w:type="fixed"/>
        <w:tblLook w:firstColumn="1" w:firstRow="1" w:lastColumn="0" w:lastRow="0" w:noHBand="0" w:noVBand="1" w:val="04A0"/>
      </w:tblPr>
      <w:tblGrid>
        <w:gridCol w:w="4680"/>
        <w:gridCol w:w="4680"/>
      </w:tblGrid>
      <w:tr>
        <w:tc>
          <w:tcPr>
            <w:tcW w:type="dxa" w:w="324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Report / view</w:t>
            </w:r>
          </w:p>
        </w:tc>
        <w:tc>
          <w:tcPr>
            <w:tcW w:type="dxa" w:w="5832"/>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Purpose</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Reconciliation Launcher</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Front-end entry point for reconciliation review and related reporting.</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List Bank Transactions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Detailed imported bank activity review by date, account, amount, reference, and matching status.</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Reconciliation Matching Rate Report</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Monitors matching performance and highlights banks or accounts needing tuning.</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BAI2 Files Log</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Shows received and processed files with timing, status, and processing context.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BAI2 Failed Files Listing</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Focuses review on files that failed validation, conversion, or import.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Balances / Balance Discrepancies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Compares imported bank balances and Yardi-side expectations to identify issues early.</w:t>
            </w:r>
          </w:p>
        </w:tc>
      </w:tr>
    </w:tbl>
    <w:p>
      <w:pPr>
        <w:spacing w:after="80"/>
      </w:pPr>
    </w:p>
    <w:p>
      <w:pPr>
        <w:pStyle w:val="Heading2"/>
        <w:spacing w:before="200" w:after="100" w:line="264" w:lineRule="auto"/>
      </w:pPr>
      <w:r>
        <w:rPr>
          <w:rFonts w:ascii="Calibri" w:hAnsi="Calibri"/>
          <w:b/>
          <w:color w:val="2E74B5"/>
          <w:sz w:val="26"/>
        </w:rPr>
        <w:t>6.2 Where errors surface</w:t>
      </w:r>
    </w:p>
    <w:p>
      <w:pPr>
        <w:pStyle w:val="ListBullet"/>
        <w:spacing w:before="0" w:after="80" w:line="276" w:lineRule="auto"/>
      </w:pPr>
      <w:r>
        <w:rPr>
          <w:rFonts w:ascii="Calibri" w:hAnsi="Calibri"/>
          <w:color w:val="202020"/>
          <w:sz w:val="21"/>
        </w:rPr>
        <w:t>Yardi task logs show task-step failures and execution context.</w:t>
      </w:r>
    </w:p>
    <w:p>
      <w:pPr>
        <w:pStyle w:val="ListBullet"/>
        <w:spacing w:before="0" w:after="80" w:line="276" w:lineRule="auto"/>
      </w:pPr>
      <w:r>
        <w:rPr>
          <w:rFonts w:ascii="Calibri" w:hAnsi="Calibri"/>
          <w:color w:val="202020"/>
          <w:sz w:val="21"/>
        </w:rPr>
        <w:t>Failed-file reports show files that require user or support review.</w:t>
      </w:r>
    </w:p>
    <w:p>
      <w:pPr>
        <w:pStyle w:val="ListBullet"/>
        <w:spacing w:before="0" w:after="80" w:line="276" w:lineRule="auto"/>
      </w:pPr>
      <w:r>
        <w:rPr>
          <w:rFonts w:ascii="Calibri" w:hAnsi="Calibri"/>
          <w:color w:val="202020"/>
          <w:sz w:val="21"/>
        </w:rPr>
        <w:t>Processing log tables preserve file-level details used for troubleshooting.</w:t>
      </w:r>
    </w:p>
    <w:p>
      <w:pPr>
        <w:pStyle w:val="ListBullet"/>
        <w:spacing w:before="0" w:after="80" w:line="276" w:lineRule="auto"/>
      </w:pPr>
      <w:r>
        <w:rPr>
          <w:rFonts w:ascii="Calibri" w:hAnsi="Calibri"/>
          <w:color w:val="202020"/>
          <w:sz w:val="21"/>
        </w:rPr>
        <w:t>Balance discrepancy reports surface file/account mismatches that may not be obvious from task status alone.</w:t>
      </w:r>
    </w:p>
    <w:p>
      <w:pPr>
        <w:pStyle w:val="Heading2"/>
        <w:spacing w:before="200" w:after="100" w:line="264" w:lineRule="auto"/>
      </w:pPr>
      <w:r>
        <w:rPr>
          <w:rFonts w:ascii="Calibri" w:hAnsi="Calibri"/>
          <w:b/>
          <w:color w:val="2E74B5"/>
          <w:sz w:val="26"/>
        </w:rPr>
        <w:t>6.3 Common issues to anticipate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Issue</w:t>
            </w:r>
          </w:p>
        </w:tc>
        <w:tc>
          <w:tcPr>
            <w:tcW w:type="dxa" w:w="324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Likely cause</w:t>
            </w:r>
          </w:p>
        </w:tc>
        <w:tc>
          <w:tcPr>
            <w:tcW w:type="dxa" w:w="3456"/>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Recovery approach</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did not arrive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Bank delivery delay, SFTP issue, holiday timing, source-system outage.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Confirm bank/source delivery, rerun pickup after arrival, document missed feed.</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failed validation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Unexpected layout, truncated file, unsupported account, malformed record.</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Move to failed review, compare to prior valid file, correct source or parser mapping.</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Duplicate activity risk</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Same file resent with a new name or source delivered overlapping files.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Check file log and imported transaction keys before rerun.</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Low matching rate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New transaction codes, changed bank references, missing Yardi-side records, timing differences.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Review unmatched sample, tune rule conservatively, retest.</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Balance discrepancy</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Missing file, partial file, account mapping issue, opening/closing balance difference.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Compare file totals, Yardi bank account mapping, and prior-day balances.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Auto journal issue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Missing GL code, unsupported bank code, workflow setup, posting restriction.</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Disable affected journal path if needed, correct configuration, regenerate only with approval.</w:t>
            </w:r>
          </w:p>
        </w:tc>
      </w:tr>
    </w:tbl>
    <w:p>
      <w:pPr>
        <w:spacing w:after="80"/>
      </w:pPr>
    </w:p>
    <w:p>
      <w:pPr>
        <w:pStyle w:val="Heading2"/>
        <w:spacing w:before="200" w:after="100" w:line="264" w:lineRule="auto"/>
      </w:pPr>
      <w:r>
        <w:rPr>
          <w:rFonts w:ascii="Calibri" w:hAnsi="Calibri"/>
          <w:b/>
          <w:color w:val="2E74B5"/>
          <w:sz w:val="26"/>
        </w:rPr>
        <w:t>6.4 Audit trail and archive</w:t>
      </w:r>
    </w:p>
    <w:p>
      <w:pPr>
        <w:spacing w:before="0" w:after="120" w:line="264" w:lineRule="auto"/>
      </w:pPr>
      <w:r>
        <w:rPr>
          <w:rFonts w:ascii="Calibri" w:hAnsi="Calibri"/>
          <w:b w:val="0"/>
          <w:i w:val="0"/>
          <w:color w:val="202020"/>
          <w:sz w:val="22"/>
        </w:rPr>
        <w:t>All source files, processed files, generated outputs, and task logs should remain available in Yardi File Manager or the agreed archive structure. Retention policy should align with the client audit requirements and bank reconciliation support model.</w:t>
      </w:r>
    </w:p>
    <w:p>
      <w:pPr>
        <w:pStyle w:val="Heading1"/>
        <w:spacing w:before="320" w:after="160" w:line="264" w:lineRule="auto"/>
      </w:pPr>
      <w:r>
        <w:rPr>
          <w:rFonts w:ascii="Calibri" w:hAnsi="Calibri"/>
          <w:b/>
          <w:color w:val="2E74B5"/>
          <w:sz w:val="32"/>
        </w:rPr>
        <w:t>7. New-Client Onboarding &amp; Implementation</w:t>
      </w:r>
    </w:p>
    <w:p>
      <w:pPr>
        <w:pStyle w:val="Heading2"/>
        <w:spacing w:before="200" w:after="100" w:line="264" w:lineRule="auto"/>
      </w:pPr>
      <w:r>
        <w:rPr>
          <w:rFonts w:ascii="Calibri" w:hAnsi="Calibri"/>
          <w:b/>
          <w:color w:val="2E74B5"/>
          <w:sz w:val="26"/>
        </w:rPr>
        <w:t>7.1 Prerequisites</w:t>
      </w:r>
    </w:p>
    <w:p>
      <w:pPr>
        <w:pStyle w:val="ListBullet"/>
        <w:spacing w:before="0" w:after="80" w:line="276" w:lineRule="auto"/>
      </w:pPr>
      <w:r>
        <w:rPr>
          <w:rFonts w:ascii="Calibri" w:hAnsi="Calibri"/>
          <w:color w:val="202020"/>
          <w:sz w:val="21"/>
        </w:rPr>
        <w:t>Yardi environment access for package deployment, report deployment, task configuration, and testing.</w:t>
      </w:r>
    </w:p>
    <w:p>
      <w:pPr>
        <w:pStyle w:val="ListBullet"/>
        <w:spacing w:before="0" w:after="80" w:line="276" w:lineRule="auto"/>
      </w:pPr>
      <w:r>
        <w:rPr>
          <w:rFonts w:ascii="Calibri" w:hAnsi="Calibri"/>
          <w:color w:val="202020"/>
          <w:sz w:val="21"/>
        </w:rPr>
        <w:t>Bank or Kyriba connectivity details and representative files for every in-scope format.</w:t>
      </w:r>
    </w:p>
    <w:p>
      <w:pPr>
        <w:pStyle w:val="ListBullet"/>
        <w:spacing w:before="0" w:after="80" w:line="276" w:lineRule="auto"/>
      </w:pPr>
      <w:r>
        <w:rPr>
          <w:rFonts w:ascii="Calibri" w:hAnsi="Calibri"/>
          <w:color w:val="202020"/>
          <w:sz w:val="21"/>
        </w:rPr>
        <w:t>List of in-scope bank accounts, entities, currencies, account identifiers, and priority for rollout.</w:t>
      </w:r>
    </w:p>
    <w:p>
      <w:pPr>
        <w:pStyle w:val="ListBullet"/>
        <w:spacing w:before="0" w:after="80" w:line="276" w:lineRule="auto"/>
      </w:pPr>
      <w:r>
        <w:rPr>
          <w:rFonts w:ascii="Calibri" w:hAnsi="Calibri"/>
          <w:color w:val="202020"/>
          <w:sz w:val="21"/>
        </w:rPr>
        <w:t>Bank transaction code list or sample file set sufficient to identify recurring transaction families.</w:t>
      </w:r>
    </w:p>
    <w:p>
      <w:pPr>
        <w:pStyle w:val="ListBullet"/>
        <w:spacing w:before="0" w:after="80" w:line="276" w:lineRule="auto"/>
      </w:pPr>
      <w:r>
        <w:rPr>
          <w:rFonts w:ascii="Calibri" w:hAnsi="Calibri"/>
          <w:color w:val="202020"/>
          <w:sz w:val="21"/>
        </w:rPr>
        <w:t>Client-approved GL coding and workflow rules for optional interest or service-charge journals.</w:t>
      </w:r>
    </w:p>
    <w:p>
      <w:pPr>
        <w:pStyle w:val="ListBullet"/>
        <w:spacing w:before="0" w:after="80" w:line="276" w:lineRule="auto"/>
      </w:pPr>
      <w:r>
        <w:rPr>
          <w:rFonts w:ascii="Calibri" w:hAnsi="Calibri"/>
          <w:color w:val="202020"/>
          <w:sz w:val="21"/>
        </w:rPr>
        <w:t>Named business owners for bank reconciliation testing, exception review, and go-live signoff.</w:t>
      </w:r>
    </w:p>
    <w:p>
      <w:pPr>
        <w:pStyle w:val="Heading2"/>
        <w:spacing w:before="200" w:after="100" w:line="264" w:lineRule="auto"/>
      </w:pPr>
      <w:r>
        <w:rPr>
          <w:rFonts w:ascii="Calibri" w:hAnsi="Calibri"/>
          <w:b/>
          <w:color w:val="2E74B5"/>
          <w:sz w:val="26"/>
        </w:rPr>
        <w:t>7.2 Implementation timeline</w:t>
      </w:r>
    </w:p>
    <w:p>
      <w:pPr>
        <w:spacing w:before="0" w:after="120" w:line="264" w:lineRule="auto"/>
      </w:pPr>
      <w:r>
        <w:rPr>
          <w:rFonts w:ascii="Calibri" w:hAnsi="Calibri"/>
          <w:b w:val="0"/>
          <w:i w:val="0"/>
          <w:color w:val="202020"/>
          <w:sz w:val="22"/>
        </w:rPr>
        <w:t>Typical implementation timing depends on connectivity readiness, bank count, file consistency, and journal automation scope. A focused first phase can often be completed in several weeks once test files and Yardi access are available; large multi-bank or multi-format rollouts should be phased by bank group or region.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Phase</w:t>
            </w:r>
          </w:p>
        </w:tc>
        <w:tc>
          <w:tcPr>
            <w:tcW w:type="dxa" w:w="1800"/>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Typical duration</w:t>
            </w:r>
          </w:p>
        </w:tc>
        <w:tc>
          <w:tcPr>
            <w:tcW w:type="dxa" w:w="532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Description</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Discovery</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1 week</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Confirm banks, formats, account scope, delivery model, reports, and matching priorities.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Build and deploy to test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1-2 weeks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Deploy packages, reports, folders, task chain, scripts, and initial matching rules.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File validation and matching test</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1-2 weeks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Load sample files, validate balances, review matched/unmatched items, tune rules.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UAT and operating signoff</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1 week</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Client users confirm reports, exceptions, journal behavior, task schedule, and support process.</w:t>
            </w:r>
          </w:p>
        </w:tc>
      </w:tr>
      <w:tr>
        <w:tc>
          <w:tcPr>
            <w:tcW w:type="dxa" w:w="3120"/>
            <w:tcMar>
              <w:top w:w="95" w:type="dxa"/>
              <w:start w:w="115" w:type="dxa"/>
              <w:bottom w:w="95" w:type="dxa"/>
              <w:end w:w="115" w:type="dxa"/>
            </w:tcMar>
          </w:tcPr>
          <w:p>
            <w:pPr>
              <w:spacing w:before="0" w:after="0" w:line="252" w:lineRule="auto"/>
            </w:pPr>
            <w:r>
              <w:rPr>
                <w:rFonts w:ascii="Calibri" w:hAnsi="Calibri"/>
                <w:color w:val="202020"/>
                <w:sz w:val="19"/>
              </w:rPr>
              <w:t>Production cutover and hypercare</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1-2 weeks</w:t>
            </w:r>
          </w:p>
        </w:tc>
        <w:tc>
          <w:tcPr>
            <w:tcW w:type="dxa" w:w="3120"/>
            <w:tcMar>
              <w:top w:w="95" w:type="dxa"/>
              <w:start w:w="115" w:type="dxa"/>
              <w:bottom w:w="95" w:type="dxa"/>
              <w:end w:w="115" w:type="dxa"/>
            </w:tcMar>
          </w:tcPr>
          <w:p>
            <w:pPr>
              <w:spacing w:before="0" w:after="0" w:line="252" w:lineRule="auto"/>
            </w:pPr>
            <w:r>
              <w:rPr>
                <w:rFonts w:ascii="Calibri" w:hAnsi="Calibri"/>
                <w:color w:val="202020"/>
                <w:sz w:val="19"/>
              </w:rPr>
              <w:t>Deploy live configuration, monitor feeds, review matching rates, and adjust controlled rules.</w:t>
            </w:r>
          </w:p>
        </w:tc>
      </w:tr>
    </w:tbl>
    <w:p>
      <w:pPr>
        <w:spacing w:after="80"/>
      </w:pPr>
    </w:p>
    <w:p>
      <w:pPr>
        <w:pStyle w:val="Heading2"/>
        <w:spacing w:before="200" w:after="100" w:line="264" w:lineRule="auto"/>
      </w:pPr>
      <w:r>
        <w:rPr>
          <w:rFonts w:ascii="Calibri" w:hAnsi="Calibri"/>
          <w:b/>
          <w:color w:val="2E74B5"/>
          <w:sz w:val="26"/>
        </w:rPr>
        <w:t>7.3 What our team delivers</w:t>
      </w:r>
    </w:p>
    <w:p>
      <w:pPr>
        <w:pStyle w:val="ListBullet"/>
        <w:spacing w:before="0" w:after="80" w:line="276" w:lineRule="auto"/>
      </w:pPr>
      <w:r>
        <w:rPr>
          <w:rFonts w:ascii="Calibri" w:hAnsi="Calibri"/>
          <w:color w:val="202020"/>
          <w:sz w:val="21"/>
        </w:rPr>
        <w:t>Yardi packages containing tasks, stored procedures, validation logic, matching routines, and supporting objects.</w:t>
      </w:r>
    </w:p>
    <w:p>
      <w:pPr>
        <w:pStyle w:val="ListBullet"/>
        <w:spacing w:before="0" w:after="80" w:line="276" w:lineRule="auto"/>
      </w:pPr>
      <w:r>
        <w:rPr>
          <w:rFonts w:ascii="Calibri" w:hAnsi="Calibri"/>
          <w:color w:val="202020"/>
          <w:sz w:val="21"/>
        </w:rPr>
        <w:t>Custom reports and launcher links for bank transactions, matching rates, file logs, failed files, balances, and discrepancies.</w:t>
      </w:r>
    </w:p>
    <w:p>
      <w:pPr>
        <w:pStyle w:val="ListBullet"/>
        <w:spacing w:before="0" w:after="80" w:line="276" w:lineRule="auto"/>
      </w:pPr>
      <w:r>
        <w:rPr>
          <w:rFonts w:ascii="Calibri" w:hAnsi="Calibri"/>
          <w:color w:val="202020"/>
          <w:sz w:val="21"/>
        </w:rPr>
        <w:t>Folder structure and script configuration guidance for the Yardi file server and task runner.</w:t>
      </w:r>
    </w:p>
    <w:p>
      <w:pPr>
        <w:pStyle w:val="ListBullet"/>
        <w:spacing w:before="0" w:after="80" w:line="276" w:lineRule="auto"/>
      </w:pPr>
      <w:r>
        <w:rPr>
          <w:rFonts w:ascii="Calibri" w:hAnsi="Calibri"/>
          <w:color w:val="202020"/>
          <w:sz w:val="21"/>
        </w:rPr>
        <w:t>Client-specific matching rule configuration and tuning based on real file examples.</w:t>
      </w:r>
    </w:p>
    <w:p>
      <w:pPr>
        <w:pStyle w:val="ListBullet"/>
        <w:spacing w:before="0" w:after="80" w:line="276" w:lineRule="auto"/>
      </w:pPr>
      <w:r>
        <w:rPr>
          <w:rFonts w:ascii="Calibri" w:hAnsi="Calibri"/>
          <w:color w:val="202020"/>
          <w:sz w:val="21"/>
        </w:rPr>
        <w:t>Optional journal automation configuration for approved bank codes and GL mappings.</w:t>
      </w:r>
    </w:p>
    <w:p>
      <w:pPr>
        <w:pStyle w:val="ListBullet"/>
        <w:spacing w:before="0" w:after="80" w:line="276" w:lineRule="auto"/>
      </w:pPr>
      <w:r>
        <w:rPr>
          <w:rFonts w:ascii="Calibri" w:hAnsi="Calibri"/>
          <w:color w:val="202020"/>
          <w:sz w:val="21"/>
        </w:rPr>
        <w:t>Go-live support, early monitoring, and bug-fix support for deployment issues.</w:t>
      </w:r>
    </w:p>
    <w:p>
      <w:pPr>
        <w:pStyle w:val="Heading2"/>
        <w:spacing w:before="200" w:after="100" w:line="264" w:lineRule="auto"/>
      </w:pPr>
      <w:r>
        <w:rPr>
          <w:rFonts w:ascii="Calibri" w:hAnsi="Calibri"/>
          <w:b/>
          <w:color w:val="2E74B5"/>
          <w:sz w:val="26"/>
        </w:rPr>
        <w:t>7.4 What the client owns</w:t>
      </w:r>
    </w:p>
    <w:p>
      <w:pPr>
        <w:pStyle w:val="ListBullet"/>
        <w:spacing w:before="0" w:after="80" w:line="276" w:lineRule="auto"/>
      </w:pPr>
      <w:r>
        <w:rPr>
          <w:rFonts w:ascii="Calibri" w:hAnsi="Calibri"/>
          <w:color w:val="202020"/>
          <w:sz w:val="21"/>
        </w:rPr>
        <w:t>Bank/Kyriba onboarding, file entitlement, credentials, SFTP access, encryption keys, and IP allowlisting decisions.</w:t>
      </w:r>
    </w:p>
    <w:p>
      <w:pPr>
        <w:pStyle w:val="ListBullet"/>
        <w:spacing w:before="0" w:after="80" w:line="276" w:lineRule="auto"/>
      </w:pPr>
      <w:r>
        <w:rPr>
          <w:rFonts w:ascii="Calibri" w:hAnsi="Calibri"/>
          <w:color w:val="202020"/>
          <w:sz w:val="21"/>
        </w:rPr>
        <w:t>Bank account scope, account mapping, in-scope entities, and rollout priority.</w:t>
      </w:r>
    </w:p>
    <w:p>
      <w:pPr>
        <w:pStyle w:val="ListBullet"/>
        <w:spacing w:before="0" w:after="80" w:line="276" w:lineRule="auto"/>
      </w:pPr>
      <w:r>
        <w:rPr>
          <w:rFonts w:ascii="Calibri" w:hAnsi="Calibri"/>
          <w:color w:val="202020"/>
          <w:sz w:val="21"/>
        </w:rPr>
        <w:t>Validation of imported activity against bank statements, treasury reports, and Yardi bank reconciliation expectations.</w:t>
      </w:r>
    </w:p>
    <w:p>
      <w:pPr>
        <w:pStyle w:val="ListBullet"/>
        <w:spacing w:before="0" w:after="80" w:line="276" w:lineRule="auto"/>
      </w:pPr>
      <w:r>
        <w:rPr>
          <w:rFonts w:ascii="Calibri" w:hAnsi="Calibri"/>
          <w:color w:val="202020"/>
          <w:sz w:val="21"/>
        </w:rPr>
        <w:t>Approval of matching behavior, exception policy, task schedule, and journal posting controls.</w:t>
      </w:r>
    </w:p>
    <w:p>
      <w:pPr>
        <w:pStyle w:val="ListBullet"/>
        <w:spacing w:before="0" w:after="80" w:line="276" w:lineRule="auto"/>
      </w:pPr>
      <w:r>
        <w:rPr>
          <w:rFonts w:ascii="Calibri" w:hAnsi="Calibri"/>
          <w:color w:val="202020"/>
          <w:sz w:val="21"/>
        </w:rPr>
        <w:t>Daily operating ownership after go-live, including failed-file review and bank escalation.</w:t>
      </w:r>
    </w:p>
    <w:p>
      <w:pPr>
        <w:pStyle w:val="Heading2"/>
        <w:spacing w:before="200" w:after="100" w:line="264" w:lineRule="auto"/>
      </w:pPr>
      <w:r>
        <w:rPr>
          <w:rFonts w:ascii="Calibri" w:hAnsi="Calibri"/>
          <w:b/>
          <w:color w:val="2E74B5"/>
          <w:sz w:val="26"/>
        </w:rPr>
        <w:t>7.5 Testing approach</w:t>
      </w:r>
    </w:p>
    <w:p>
      <w:pPr>
        <w:spacing w:before="0" w:after="120" w:line="264" w:lineRule="auto"/>
      </w:pPr>
      <w:r>
        <w:rPr>
          <w:rFonts w:ascii="Calibri" w:hAnsi="Calibri"/>
          <w:b w:val="0"/>
          <w:i w:val="0"/>
          <w:color w:val="202020"/>
          <w:sz w:val="22"/>
        </w:rPr>
        <w:t>Testing should use real bank files and should progress from import validation to matching validation to operational signoff. The same folder structure and task sequence should be used in test and production wherever possible; only environment-specific paths and credentials should change. This reduces cutover risk and makes production issues easier to diagnose.</w:t>
      </w:r>
    </w:p>
    <w:p>
      <w:pPr>
        <w:pStyle w:val="Heading2"/>
        <w:spacing w:before="200" w:after="100" w:line="264" w:lineRule="auto"/>
      </w:pPr>
      <w:r>
        <w:rPr>
          <w:rFonts w:ascii="Calibri" w:hAnsi="Calibri"/>
          <w:b/>
          <w:color w:val="2E74B5"/>
          <w:sz w:val="26"/>
        </w:rPr>
        <w:t>7.6 Commercial scope</w:t>
      </w:r>
    </w:p>
    <w:p>
      <w:pPr>
        <w:pStyle w:val="ListBullet"/>
        <w:spacing w:before="0" w:after="80" w:line="276" w:lineRule="auto"/>
      </w:pPr>
      <w:r>
        <w:rPr>
          <w:rFonts w:ascii="Calibri" w:hAnsi="Calibri"/>
          <w:color w:val="202020"/>
          <w:sz w:val="21"/>
        </w:rPr>
        <w:t>Base implementation covers one configured bank-file automation pattern, core reports, matching setup, and go-live support as defined in the SOW.</w:t>
      </w:r>
    </w:p>
    <w:p>
      <w:pPr>
        <w:pStyle w:val="ListBullet"/>
        <w:spacing w:before="0" w:after="80" w:line="276" w:lineRule="auto"/>
      </w:pPr>
      <w:r>
        <w:rPr>
          <w:rFonts w:ascii="Calibri" w:hAnsi="Calibri"/>
          <w:color w:val="202020"/>
          <w:sz w:val="21"/>
        </w:rPr>
        <w:t>Additional banks, formats, matching rules, journal modules, custom reports, or regional variants can be added by scope agreement.</w:t>
      </w:r>
    </w:p>
    <w:p>
      <w:pPr>
        <w:pStyle w:val="ListBullet"/>
        <w:spacing w:before="0" w:after="80" w:line="276" w:lineRule="auto"/>
      </w:pPr>
      <w:r>
        <w:rPr>
          <w:rFonts w:ascii="Calibri" w:hAnsi="Calibri"/>
          <w:color w:val="202020"/>
          <w:sz w:val="21"/>
        </w:rPr>
        <w:t>Ongoing support can include feed monitoring assistance, rule tuning, failed-file triage, and enhancement work.</w:t>
      </w:r>
    </w:p>
    <w:p>
      <w:pPr>
        <w:pStyle w:val="Heading1"/>
        <w:spacing w:before="320" w:after="160" w:line="264" w:lineRule="auto"/>
      </w:pPr>
      <w:r>
        <w:rPr>
          <w:rFonts w:ascii="Calibri" w:hAnsi="Calibri"/>
          <w:b/>
          <w:color w:val="2E74B5"/>
          <w:sz w:val="32"/>
        </w:rPr>
        <w:t>Appendix A - Standard Menu Links And Reports</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Menu / report</w:t>
            </w:r>
          </w:p>
        </w:tc>
        <w:tc>
          <w:tcPr>
            <w:tcW w:type="dxa" w:w="590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Typical target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Reconciliation Launcher</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../pages/CustomCorrespGeneratenew.aspx?ReportCode=brecs&amp;OutputType=Screen</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List Bank Transactions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../pages/SysSqlScript.aspx?action=Filter&amp;select=reports/rs_sql_cc_ShowBAI2Txns.txt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Reconciliation Matching Rate Report</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../pages/CustomCorrespGeneratenew.aspx?ReportCode=brecsMatching&amp;OutputType=Screen</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BAI2 Files Log</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../pages/SysSqlScript.aspx?action=Filter&amp;select=reports/rs_sql_fnx_BAI2FilesLog.txt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BAI2 Failed Files Listing</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../pages/SysSqlScript.aspx?action=Filter&amp;select=reports/rs_sql_fnx_FailedFiles.txt</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Bank Balances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../pages/SysSqlScript.aspx?action=Filter&amp;select=reports/rs_sql_fnx_BankBalancesBAI2.txt</w:t>
            </w:r>
          </w:p>
        </w:tc>
      </w:tr>
    </w:tbl>
    <w:p>
      <w:pPr>
        <w:spacing w:after="80"/>
      </w:pPr>
    </w:p>
    <w:p>
      <w:pPr>
        <w:pStyle w:val="Heading1"/>
        <w:spacing w:before="320" w:after="160" w:line="264" w:lineRule="auto"/>
      </w:pPr>
      <w:r>
        <w:rPr>
          <w:rFonts w:ascii="Calibri" w:hAnsi="Calibri"/>
          <w:b/>
          <w:color w:val="2E74B5"/>
          <w:sz w:val="32"/>
        </w:rPr>
        <w:t>Appendix B - Discovery Checklist</w:t>
      </w:r>
    </w:p>
    <w:tbl>
      <w:tblPr>
        <w:tblStyle w:val="TableGrid"/>
        <w:tblW w:type="auto" w:w="0"/>
        <w:jc w:val="center"/>
        <w:tblLayout w:type="fixed"/>
        <w:tblLook w:firstColumn="1" w:firstRow="1" w:lastColumn="0" w:lastRow="0" w:noHBand="0" w:noVBand="1" w:val="04A0"/>
      </w:tblPr>
      <w:tblGrid>
        <w:gridCol w:w="4680"/>
        <w:gridCol w:w="4680"/>
      </w:tblGrid>
      <w:tr>
        <w:tc>
          <w:tcPr>
            <w:tcW w:type="dxa" w:w="3384"/>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Question</w:t>
            </w:r>
          </w:p>
        </w:tc>
        <w:tc>
          <w:tcPr>
            <w:tcW w:type="dxa" w:w="5688"/>
            <w:tcMar>
              <w:top w:w="90" w:type="dxa"/>
              <w:start w:w="120" w:type="dxa"/>
              <w:bottom w:w="90" w:type="dxa"/>
              <w:end w:w="120" w:type="dxa"/>
            </w:tcMar>
            <w:vAlign w:val="center"/>
            <w:shd w:fill="F2F4F7"/>
          </w:tcPr>
          <w:p>
            <w:pPr>
              <w:spacing w:before="0" w:after="0" w:line="252" w:lineRule="auto"/>
            </w:pPr>
            <w:r>
              <w:rPr>
                <w:rFonts w:ascii="Calibri" w:hAnsi="Calibri"/>
                <w:b/>
                <w:color w:val="1F4D78"/>
                <w:sz w:val="19"/>
              </w:rPr>
              <w:t>Why it matters</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Which banks, accounts, entities, and currencies are in scope?</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Defines configuration, account mapping, and testing coverage.</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Which file formats will each source deliver?</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Determines parser, conversion, and validation path.</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When are files available and when do users need results?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Defines task schedule and monitoring window.</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Which transaction families should be auto-cleared?</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Defines matching rules and control posture.</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Which items should generate journals?</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Defines GL coding, workflow, and accounting signoff.</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Who owns daily failed-file review?</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Prevents production issues from becoming invisible.</w:t>
            </w:r>
          </w:p>
        </w:tc>
      </w:tr>
      <w:tr>
        <w:tc>
          <w:tcPr>
            <w:tcW w:type="dxa" w:w="4680"/>
            <w:tcMar>
              <w:top w:w="95" w:type="dxa"/>
              <w:start w:w="115" w:type="dxa"/>
              <w:bottom w:w="95" w:type="dxa"/>
              <w:end w:w="115" w:type="dxa"/>
            </w:tcMar>
          </w:tcPr>
          <w:p>
            <w:pPr>
              <w:spacing w:before="0" w:after="0" w:line="252" w:lineRule="auto"/>
            </w:pPr>
            <w:r>
              <w:rPr>
                <w:rFonts w:ascii="Calibri" w:hAnsi="Calibri"/>
                <w:color w:val="202020"/>
                <w:sz w:val="19"/>
              </w:rPr>
              <w:t>What reports are used today to complete reconciliation?</w:t>
            </w:r>
          </w:p>
        </w:tc>
        <w:tc>
          <w:tcPr>
            <w:tcW w:type="dxa" w:w="4680"/>
            <w:tcMar>
              <w:top w:w="95" w:type="dxa"/>
              <w:start w:w="115" w:type="dxa"/>
              <w:bottom w:w="95" w:type="dxa"/>
              <w:end w:w="115" w:type="dxa"/>
            </w:tcMar>
          </w:tcPr>
          <w:p>
            <w:pPr>
              <w:spacing w:before="0" w:after="0" w:line="252" w:lineRule="auto"/>
            </w:pPr>
            <w:r>
              <w:rPr>
                <w:rFonts w:ascii="Calibri" w:hAnsi="Calibri"/>
                <w:color w:val="202020"/>
                <w:sz w:val="19"/>
              </w:rPr>
              <w:t>Ensures the new reporting package maps to the real operating process.</w:t>
            </w:r>
          </w:p>
        </w:tc>
      </w:tr>
    </w:tbl>
    <w:p>
      <w:pPr>
        <w:spacing w:after="80"/>
      </w:pPr>
    </w:p>
    <w:p>
      <w:pPr>
        <w:spacing w:before="240" w:after="0" w:line="264" w:lineRule="auto"/>
      </w:pPr>
      <w:r>
        <w:rPr>
          <w:rFonts w:ascii="Calibri" w:hAnsi="Calibri"/>
          <w:b w:val="0"/>
          <w:i/>
          <w:color w:val="555555"/>
          <w:sz w:val="19"/>
        </w:rPr>
        <w:t>Prepared as a dense new-client technical reference for the Yardi Auto Bank Reconciliation solution.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color w:val="555555"/>
        <w:sz w:val="18"/>
      </w:rPr>
      <w:t>Confidential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Calibri" w:hAnsi="Calibri"/>
        <w:color w:val="555555"/>
        <w:sz w:val="18"/>
      </w:rPr>
      <w:t>Yardi Auto Bank Reconciliation | Technical Reference for New Clients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