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CodeQuest AI</w:t>
      </w:r>
    </w:p>
    <w:p>
      <w:pPr>
        <w:jc w:val="center"/>
      </w:pPr>
      <w:r>
        <w:rPr>
          <w:b/>
          <w:sz w:val="32"/>
        </w:rPr>
        <w:t>RAG Architecture &amp; Agent Integration Specification</w:t>
      </w:r>
    </w:p>
    <w:p>
      <w:pPr>
        <w:jc w:val="center"/>
      </w:pPr>
      <w:r>
        <w:rPr>
          <w:i/>
        </w:rPr>
        <w:t>Integration handoff document | Version 1.0</w:t>
      </w:r>
    </w:p>
    <w:p>
      <w:r>
        <w:t>Purpose: document the existing LeetCode-profile RAG component and define how it can integrate into a larger agentic learning system while remaining a separate, reusable module.</w:t>
      </w:r>
    </w:p>
    <w:p>
      <w:pPr>
        <w:pStyle w:val="Heading1"/>
      </w:pPr>
      <w:r>
        <w:t>1. Scope and Current State</w:t>
      </w:r>
    </w:p>
    <w:p>
      <w:r>
        <w:t>CodeQuest AI is a standalone retrieval-augmented generation (RAG) component for public LeetCode profile data. It fetches profile sections, stores structured evidence in persistent ChromaDB, retrieves relevant documents for a question, and uses Gemini to generate an answer from the retrieved evidence.</w:t>
      </w:r>
    </w:p>
    <w:p>
      <w:r>
        <w:t>Based on the terminal output shared during development, a sync completed for `Sahil-memane`, indexed 69 documents, and saved a JSON snapshot at `data/profile_Sahil-memane.json`. The CLI answered a programming-language question. A Gemini 503 response was also observed; this is a model-service availability failure, not proof that the vector database failed.</w:t>
      </w:r>
    </w:p>
    <w:p>
      <w:r>
        <w:t>Boundary: this document describes observed behavior and proposes an integration contract. It does not claim that FastAPI chat endpoints, authenticated application users, ElevenLabs services, a safety Guard, or the four agent tools already exist in the RAG repository.</w:t>
      </w:r>
    </w:p>
    <w:p>
      <w:pPr>
        <w:pStyle w:val="Heading1"/>
      </w:pPr>
      <w:r>
        <w:t>2. Observed RAG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app.py</w:t>
            </w:r>
          </w:p>
        </w:tc>
        <w:tc>
          <w:tcPr>
            <w:tcW w:type="dxa" w:w="4968"/>
          </w:tcPr>
          <w:p>
            <w:r>
              <w:t>CLI entry point for profile synchronization and question answering (e.g. `sync`, `ask`).</w:t>
            </w:r>
          </w:p>
        </w:tc>
      </w:tr>
      <w:tr>
        <w:tc>
          <w:tcPr>
            <w:tcW w:type="dxa" w:w="4968"/>
          </w:tcPr>
          <w:p>
            <w:r>
              <w:t>leetcode_client.py</w:t>
            </w:r>
          </w:p>
        </w:tc>
        <w:tc>
          <w:tcPr>
            <w:tcW w:type="dxa" w:w="4968"/>
          </w:tcPr>
          <w:p>
            <w:r>
              <w:t>Fetches available public LeetCode profile sections using GraphQL requests.</w:t>
            </w:r>
          </w:p>
        </w:tc>
      </w:tr>
      <w:tr>
        <w:tc>
          <w:tcPr>
            <w:tcW w:type="dxa" w:w="4968"/>
          </w:tcPr>
          <w:p>
            <w:r>
              <w:t>rag_store.py</w:t>
            </w:r>
          </w:p>
        </w:tc>
        <w:tc>
          <w:tcPr>
            <w:tcW w:type="dxa" w:w="4968"/>
          </w:tcPr>
          <w:p>
            <w:r>
              <w:t>Converts profile sections into documents and stores/searches them in persistent ChromaDB.</w:t>
            </w:r>
          </w:p>
        </w:tc>
      </w:tr>
      <w:tr>
        <w:tc>
          <w:tcPr>
            <w:tcW w:type="dxa" w:w="4968"/>
          </w:tcPr>
          <w:p>
            <w:r>
              <w:t>answerer.py</w:t>
            </w:r>
          </w:p>
        </w:tc>
        <w:tc>
          <w:tcPr>
            <w:tcW w:type="dxa" w:w="4968"/>
          </w:tcPr>
          <w:p>
            <w:r>
              <w:t>Uses Gemini to produce a natural-language answer from retrieved evidence; provider failures can occur.</w:t>
            </w:r>
          </w:p>
        </w:tc>
      </w:tr>
      <w:tr>
        <w:tc>
          <w:tcPr>
            <w:tcW w:type="dxa" w:w="4968"/>
          </w:tcPr>
          <w:p>
            <w:r>
              <w:t>config.py</w:t>
            </w:r>
          </w:p>
        </w:tc>
        <w:tc>
          <w:tcPr>
            <w:tcW w:type="dxa" w:w="4968"/>
          </w:tcPr>
          <w:p>
            <w:r>
              <w:t>Loads configuration and environment variables.</w:t>
            </w:r>
          </w:p>
        </w:tc>
      </w:tr>
      <w:tr>
        <w:tc>
          <w:tcPr>
            <w:tcW w:type="dxa" w:w="4968"/>
          </w:tcPr>
          <w:p>
            <w:r>
              <w:t>.env</w:t>
            </w:r>
          </w:p>
        </w:tc>
        <w:tc>
          <w:tcPr>
            <w:tcW w:type="dxa" w:w="4968"/>
          </w:tcPr>
          <w:p>
            <w:r>
              <w:t>Local secrets/configuration such as Gemini API key and model; never commit or log secrets.</w:t>
            </w:r>
          </w:p>
        </w:tc>
      </w:tr>
      <w:tr>
        <w:tc>
          <w:tcPr>
            <w:tcW w:type="dxa" w:w="4968"/>
          </w:tcPr>
          <w:p>
            <w:r>
              <w:t>data/profile_&lt;username&gt;.json</w:t>
            </w:r>
          </w:p>
        </w:tc>
        <w:tc>
          <w:tcPr>
            <w:tcW w:type="dxa" w:w="4968"/>
          </w:tcPr>
          <w:p>
            <w:r>
              <w:t>Local snapshot of fetched profile data.</w:t>
            </w:r>
          </w:p>
        </w:tc>
      </w:tr>
      <w:tr>
        <w:tc>
          <w:tcPr>
            <w:tcW w:type="dxa" w:w="4968"/>
          </w:tcPr>
          <w:p>
            <w:r>
              <w:t>data/chroma/</w:t>
            </w:r>
          </w:p>
        </w:tc>
        <w:tc>
          <w:tcPr>
            <w:tcW w:type="dxa" w:w="4968"/>
          </w:tcPr>
          <w:p>
            <w:r>
              <w:t>Expected local persistent ChromaDB path based on the configured project setup.</w:t>
            </w:r>
          </w:p>
        </w:tc>
      </w:tr>
    </w:tbl>
    <w:p>
      <w:pPr>
        <w:pStyle w:val="Heading1"/>
      </w:pPr>
      <w:r>
        <w:t>3. Current Data Flow</w:t>
      </w:r>
    </w:p>
    <w:p>
      <w:pPr>
        <w:pStyle w:val="ListNumber"/>
      </w:pPr>
      <w:r>
        <w:t>CLI receives a LeetCode username.</w:t>
      </w:r>
    </w:p>
    <w:p>
      <w:pPr>
        <w:pStyle w:val="ListNumber"/>
      </w:pPr>
      <w:r>
        <w:t>leetcode_client.py fetches available public profile sections.</w:t>
      </w:r>
    </w:p>
    <w:p>
      <w:pPr>
        <w:pStyle w:val="ListNumber"/>
      </w:pPr>
      <w:r>
        <w:t>Fetched profile data is saved to a JSON snapshot.</w:t>
      </w:r>
    </w:p>
    <w:p>
      <w:pPr>
        <w:pStyle w:val="ListNumber"/>
      </w:pPr>
      <w:r>
        <w:t>rag_store.py converts profile data into documents and indexes them in ChromaDB using MiniLM embeddings.</w:t>
      </w:r>
    </w:p>
    <w:p>
      <w:pPr>
        <w:pStyle w:val="ListNumber"/>
      </w:pPr>
      <w:r>
        <w:t>For a question, the retriever searches documents associated with the requested LeetCode username.</w:t>
      </w:r>
    </w:p>
    <w:p>
      <w:pPr>
        <w:pStyle w:val="ListNumber"/>
      </w:pPr>
      <w:r>
        <w:t>answerer.py sends the question and retrieved evidence to Gemini.</w:t>
      </w:r>
    </w:p>
    <w:p>
      <w:pPr>
        <w:pStyle w:val="ListNumber"/>
      </w:pPr>
      <w:r>
        <w:t>The CLI displays the answer, or diagnostic/retrieved evidence when the model request fails.</w:t>
      </w:r>
    </w:p>
    <w:p>
      <w:pPr>
        <w:pStyle w:val="Heading1"/>
      </w:pPr>
      <w:r>
        <w:t>4. Data Sections Observed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Section</w:t>
            </w:r>
          </w:p>
        </w:tc>
        <w:tc>
          <w:tcPr>
            <w:tcW w:type="dxa" w:w="4968"/>
          </w:tcPr>
          <w:p>
            <w:r>
              <w:t>Typical evidence</w:t>
            </w:r>
          </w:p>
        </w:tc>
      </w:tr>
      <w:tr>
        <w:tc>
          <w:tcPr>
            <w:tcW w:type="dxa" w:w="4968"/>
          </w:tcPr>
          <w:p>
            <w:r>
              <w:t>Profile / overview</w:t>
            </w:r>
          </w:p>
        </w:tc>
        <w:tc>
          <w:tcPr>
            <w:tcW w:type="dxa" w:w="4968"/>
          </w:tcPr>
          <w:p>
            <w:r>
              <w:t>Ranking, location/country and other public profile fields when returned.</w:t>
            </w:r>
          </w:p>
        </w:tc>
      </w:tr>
      <w:tr>
        <w:tc>
          <w:tcPr>
            <w:tcW w:type="dxa" w:w="4968"/>
          </w:tcPr>
          <w:p>
            <w:r>
              <w:t>Social links</w:t>
            </w:r>
          </w:p>
        </w:tc>
        <w:tc>
          <w:tcPr>
            <w:tcW w:type="dxa" w:w="4968"/>
          </w:tcPr>
          <w:p>
            <w:r>
              <w:t>Public profile links when available.</w:t>
            </w:r>
          </w:p>
        </w:tc>
      </w:tr>
      <w:tr>
        <w:tc>
          <w:tcPr>
            <w:tcW w:type="dxa" w:w="4968"/>
          </w:tcPr>
          <w:p>
            <w:r>
              <w:t>Solved statistics</w:t>
            </w:r>
          </w:p>
        </w:tc>
        <w:tc>
          <w:tcPr>
            <w:tcW w:type="dxa" w:w="4968"/>
          </w:tcPr>
          <w:p>
            <w:r>
              <w:t>Accepted solved counts grouped by difficulty.</w:t>
            </w:r>
          </w:p>
        </w:tc>
      </w:tr>
      <w:tr>
        <w:tc>
          <w:tcPr>
            <w:tcW w:type="dxa" w:w="4968"/>
          </w:tcPr>
          <w:p>
            <w:r>
              <w:t>Submission statistics</w:t>
            </w:r>
          </w:p>
        </w:tc>
        <w:tc>
          <w:tcPr>
            <w:tcW w:type="dxa" w:w="4968"/>
          </w:tcPr>
          <w:p>
            <w:r>
              <w:t>Submission totals grouped by difficulty, when returned.</w:t>
            </w:r>
          </w:p>
        </w:tc>
      </w:tr>
      <w:tr>
        <w:tc>
          <w:tcPr>
            <w:tcW w:type="dxa" w:w="4968"/>
          </w:tcPr>
          <w:p>
            <w:r>
              <w:t>Available questions</w:t>
            </w:r>
          </w:p>
        </w:tc>
        <w:tc>
          <w:tcPr>
            <w:tcW w:type="dxa" w:w="4968"/>
          </w:tcPr>
          <w:p>
            <w:r>
              <w:t>Question-count information when returned.</w:t>
            </w:r>
          </w:p>
        </w:tc>
      </w:tr>
      <w:tr>
        <w:tc>
          <w:tcPr>
            <w:tcW w:type="dxa" w:w="4968"/>
          </w:tcPr>
          <w:p>
            <w:r>
              <w:t>Languages</w:t>
            </w:r>
          </w:p>
        </w:tc>
        <w:tc>
          <w:tcPr>
            <w:tcW w:type="dxa" w:w="4968"/>
          </w:tcPr>
          <w:p>
            <w:r>
              <w:t>Languages and associated solved counts returned by the API.</w:t>
            </w:r>
          </w:p>
        </w:tc>
      </w:tr>
      <w:tr>
        <w:tc>
          <w:tcPr>
            <w:tcW w:type="dxa" w:w="4968"/>
          </w:tcPr>
          <w:p>
            <w:r>
              <w:t>Topics</w:t>
            </w:r>
          </w:p>
        </w:tc>
        <w:tc>
          <w:tcPr>
            <w:tcW w:type="dxa" w:w="4968"/>
          </w:tcPr>
          <w:p>
            <w:r>
              <w:t>Topic name, level, slug and solved count.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Streak, active days, active years and calendar data where available.</w:t>
            </w:r>
          </w:p>
        </w:tc>
      </w:tr>
      <w:tr>
        <w:tc>
          <w:tcPr>
            <w:tcW w:type="dxa" w:w="4968"/>
          </w:tcPr>
          <w:p>
            <w:r>
              <w:t>Recent submissions</w:t>
            </w:r>
          </w:p>
        </w:tc>
        <w:tc>
          <w:tcPr>
            <w:tcW w:type="dxa" w:w="4968"/>
          </w:tcPr>
          <w:p>
            <w:r>
              <w:t>Problem title, slug, timestamp and language where returned.</w:t>
            </w:r>
          </w:p>
        </w:tc>
      </w:tr>
      <w:tr>
        <w:tc>
          <w:tcPr>
            <w:tcW w:type="dxa" w:w="4968"/>
          </w:tcPr>
          <w:p>
            <w:r>
              <w:t>Badges</w:t>
            </w:r>
          </w:p>
        </w:tc>
        <w:tc>
          <w:tcPr>
            <w:tcW w:type="dxa" w:w="4968"/>
          </w:tcPr>
          <w:p>
            <w:r>
              <w:t>Public badge information where returned.</w:t>
            </w:r>
          </w:p>
        </w:tc>
      </w:tr>
      <w:tr>
        <w:tc>
          <w:tcPr>
            <w:tcW w:type="dxa" w:w="4968"/>
          </w:tcPr>
          <w:p>
            <w:r>
              <w:t>Contest</w:t>
            </w:r>
          </w:p>
        </w:tc>
        <w:tc>
          <w:tcPr>
            <w:tcW w:type="dxa" w:w="4968"/>
          </w:tcPr>
          <w:p>
            <w:r>
              <w:t>Contest ranking data; the tested profile returned empty/unavailable.</w:t>
            </w:r>
          </w:p>
        </w:tc>
      </w:tr>
      <w:tr>
        <w:tc>
          <w:tcPr>
            <w:tcW w:type="dxa" w:w="4968"/>
          </w:tcPr>
          <w:p>
            <w:r>
              <w:t>Fetch/section status</w:t>
            </w:r>
          </w:p>
        </w:tc>
        <w:tc>
          <w:tcPr>
            <w:tcW w:type="dxa" w:w="4968"/>
          </w:tcPr>
          <w:p>
            <w:r>
              <w:t>Diagnostics indicating which sections were available.</w:t>
            </w:r>
          </w:p>
        </w:tc>
      </w:tr>
    </w:tbl>
    <w:p>
      <w:pPr>
        <w:pStyle w:val="Heading1"/>
      </w:pPr>
      <w:r>
        <w:t>5. Integration Boundary</w:t>
      </w:r>
    </w:p>
    <w:p>
      <w:r>
        <w:t>Keep the RAG component separate and expose it through a small service interface. The agent layer should not manipulate ChromaDB internals or depend on CLI output. It should call a Python service that returns structured results and clear errors.</w:t>
      </w:r>
    </w:p>
    <w:p>
      <w:pPr>
        <w:pStyle w:val="Heading2"/>
      </w:pPr>
      <w:r>
        <w:t>Suggested interface (contract, not existing code)</w:t>
      </w:r>
    </w:p>
    <w:p>
      <w:r>
        <w:rPr>
          <w:rFonts w:ascii="Consolas" w:hAnsi="Consolas"/>
          <w:sz w:val="18"/>
        </w:rPr>
        <w:t>class ProfileRAGService(Protocol):</w:t>
        <w:br/>
        <w:t xml:space="preserve">    def sync_profile(self, leetcode_username: str) -&gt; SyncResult: ...</w:t>
        <w:br/>
        <w:t xml:space="preserve">    def retrieve_profile_evidence(</w:t>
        <w:br/>
        <w:t xml:space="preserve">        self, leetcode_username: str, question: str, top_k: int = 8</w:t>
        <w:br/>
        <w:t xml:space="preserve">    ) -&gt; list[EvidenceDocument]: ...</w:t>
        <w:br/>
        <w:t xml:space="preserve">    def answer_profile_question(</w:t>
        <w:br/>
        <w:t xml:space="preserve">        self, leetcode_username: str, question: str</w:t>
        <w:br/>
        <w:t xml:space="preserve">    ) -&gt; ProfileAnswer: ...</w:t>
      </w:r>
    </w:p>
    <w:p>
      <w:r>
        <w:t>Suggested result shapes:</w:t>
      </w:r>
    </w:p>
    <w:p>
      <w:pPr>
        <w:pStyle w:val="ListBullet"/>
      </w:pPr>
      <w:r>
        <w:t>SyncResult: username, indexed_document_count, section_status, snapshot_path, warnings.</w:t>
      </w:r>
    </w:p>
    <w:p>
      <w:pPr>
        <w:pStyle w:val="ListBullet"/>
      </w:pPr>
      <w:r>
        <w:t>EvidenceDocument: username, section, title, content, source metadata and retrieval score when available.</w:t>
      </w:r>
    </w:p>
    <w:p>
      <w:pPr>
        <w:pStyle w:val="ListBullet"/>
      </w:pPr>
      <w:r>
        <w:t>ProfileAnswer: answer text, evidence references, provider status, and whether a deterministic fallback was used.</w:t>
      </w:r>
    </w:p>
    <w:p>
      <w:pPr>
        <w:pStyle w:val="Heading1"/>
      </w:pPr>
      <w:r>
        <w:t>6. Agent Tool Integration</w:t>
      </w:r>
    </w:p>
    <w:p>
      <w:r>
        <w:t>These four tools belong to the agentic layer. They are proposed interfaces for the wider learning platform and are not confirmed as implemented in the current RAG repository.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Tool</w:t>
            </w:r>
          </w:p>
        </w:tc>
        <w:tc>
          <w:tcPr>
            <w:tcW w:type="dxa" w:w="4968"/>
          </w:tcPr>
          <w:p>
            <w:r>
              <w:t>Proposed responsibility</w:t>
            </w:r>
          </w:p>
        </w:tc>
      </w:tr>
      <w:tr>
        <w:tc>
          <w:tcPr>
            <w:tcW w:type="dxa" w:w="4968"/>
          </w:tcPr>
          <w:p>
            <w:r>
              <w:t>get_history</w:t>
            </w:r>
          </w:p>
        </w:tc>
        <w:tc>
          <w:tcPr>
            <w:tcW w:type="dxa" w:w="4968"/>
          </w:tcPr>
          <w:p>
            <w:r>
              <w:t>Fetch the current authenticated learner's conversation/history from the platform backend. Never read another user's history.</w:t>
            </w:r>
          </w:p>
        </w:tc>
      </w:tr>
      <w:tr>
        <w:tc>
          <w:tcPr>
            <w:tcW w:type="dxa" w:w="4968"/>
          </w:tcPr>
          <w:p>
            <w:r>
              <w:t>run_analysis</w:t>
            </w:r>
          </w:p>
        </w:tc>
        <w:tc>
          <w:tcPr>
            <w:tcW w:type="dxa" w:w="4968"/>
          </w:tcPr>
          <w:p>
            <w:r>
              <w:t>Run an approved analysis through backend/domain services. If it needs LeetCode evidence, call ProfileRAGService rather than accessing ChromaDB directly.</w:t>
            </w:r>
          </w:p>
        </w:tc>
      </w:tr>
      <w:tr>
        <w:tc>
          <w:tcPr>
            <w:tcW w:type="dxa" w:w="4968"/>
          </w:tcPr>
          <w:p>
            <w:r>
              <w:t>get_hint</w:t>
            </w:r>
          </w:p>
        </w:tc>
        <w:tc>
          <w:tcPr>
            <w:tcW w:type="dxa" w:w="4968"/>
          </w:tcPr>
          <w:p>
            <w:r>
              <w:t>Return a hint through the platform's HintService. Do not expose answer keys or unrelated profile data.</w:t>
            </w:r>
          </w:p>
        </w:tc>
      </w:tr>
      <w:tr>
        <w:tc>
          <w:tcPr>
            <w:tcW w:type="dxa" w:w="4968"/>
          </w:tcPr>
          <w:p>
            <w:r>
              <w:t>explain_concept</w:t>
            </w:r>
          </w:p>
        </w:tc>
        <w:tc>
          <w:tcPr>
            <w:tcW w:type="dxa" w:w="4968"/>
          </w:tcPr>
          <w:p>
            <w:r>
              <w:t>Explain a concept using approved learning content and the platform's Guard/Translator where applicable.</w:t>
            </w:r>
          </w:p>
        </w:tc>
      </w:tr>
    </w:tbl>
    <w:p>
      <w:pPr>
        <w:pStyle w:val="Heading1"/>
      </w:pPr>
      <w:r>
        <w:t>7. Security and Reliability Requirements</w:t>
      </w:r>
    </w:p>
    <w:p>
      <w:pPr>
        <w:pStyle w:val="ListBullet"/>
      </w:pPr>
      <w:r>
        <w:t>Treat LeetCode page/profile text, retrieved documents, model output and tool output as untrusted data—not instructions.</w:t>
      </w:r>
    </w:p>
    <w:p>
      <w:pPr>
        <w:pStyle w:val="ListBullet"/>
      </w:pPr>
      <w:r>
        <w:t>Do not let the model select arbitrary Python functions, shell commands, filesystem paths or unrestricted network requests.</w:t>
      </w:r>
    </w:p>
    <w:p>
      <w:pPr>
        <w:pStyle w:val="ListBullet"/>
      </w:pPr>
      <w:r>
        <w:t>Derive the application user ID from authenticated server-side identity; do not trust a user ID supplied only in model arguments.</w:t>
      </w:r>
    </w:p>
    <w:p>
      <w:pPr>
        <w:pStyle w:val="ListBullet"/>
      </w:pPr>
      <w:r>
        <w:t>Enforce user/tenant filters on every memory/history operation. A LeetCode username identifies a profile, not an authenticated application user.</w:t>
      </w:r>
    </w:p>
    <w:p>
      <w:pPr>
        <w:pStyle w:val="ListBullet"/>
      </w:pPr>
      <w:r>
        <w:t>Validate tool arguments with typed schemas, allowlists, bounds and authorization checks before execution.</w:t>
      </w:r>
    </w:p>
    <w:p>
      <w:pPr>
        <w:pStyle w:val="ListBullet"/>
      </w:pPr>
      <w:r>
        <w:t>Pass generated answers through the platform's Guard before returning them to the client.</w:t>
      </w:r>
    </w:p>
    <w:p>
      <w:pPr>
        <w:pStyle w:val="ListBullet"/>
      </w:pPr>
      <w:r>
        <w:t>Never commit `.env`, API keys, tokens or private user data. Redact secrets from logs.</w:t>
      </w:r>
    </w:p>
    <w:p>
      <w:pPr>
        <w:pStyle w:val="ListBullet"/>
      </w:pPr>
      <w:r>
        <w:t>Handle Gemini timeouts, 429 and 503 errors with bounded retries and exponential backoff; use an evidence-based deterministic fallback where possible.</w:t>
      </w:r>
    </w:p>
    <w:p>
      <w:pPr>
        <w:pStyle w:val="ListBullet"/>
      </w:pPr>
      <w:r>
        <w:t>Distinguish unavailable data from zero values. Unavailable contest data does not prove the user never participated.</w:t>
      </w:r>
    </w:p>
    <w:p>
      <w:pPr>
        <w:pStyle w:val="ListBullet"/>
      </w:pPr>
      <w:r>
        <w:t>Convert Unix timestamps to timezone-aware dates before displaying them.</w:t>
      </w:r>
    </w:p>
    <w:p>
      <w:pPr>
        <w:pStyle w:val="ListBullet"/>
      </w:pPr>
      <w:r>
        <w:t>Do not label recent submissions as accepted unless the source data explicitly confirms acceptance status.</w:t>
      </w:r>
    </w:p>
    <w:p>
      <w:pPr>
        <w:pStyle w:val="Heading1"/>
      </w:pPr>
      <w:r>
        <w:t>8. Voice and Memory Services</w:t>
      </w:r>
    </w:p>
    <w:p>
      <w:r>
        <w:t>Voice and conversational memory should remain separate service implementations behind stable protocols. The LeetCode evidence index should not automatically be treated as personal conversational memory.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Interface / endpoint</w:t>
            </w:r>
          </w:p>
        </w:tc>
        <w:tc>
          <w:tcPr>
            <w:tcW w:type="dxa" w:w="4968"/>
          </w:tcPr>
          <w:p>
            <w:r>
              <w:t>Expected responsibility</w:t>
            </w:r>
          </w:p>
        </w:tc>
      </w:tr>
      <w:tr>
        <w:tc>
          <w:tcPr>
            <w:tcW w:type="dxa" w:w="4968"/>
          </w:tcPr>
          <w:p>
            <w:r>
              <w:t>Memory Protocol</w:t>
            </w:r>
          </w:p>
        </w:tc>
        <w:tc>
          <w:tcPr>
            <w:tcW w:type="dxa" w:w="4968"/>
          </w:tcPr>
          <w:p>
            <w:r>
              <w:t>`remember(user_id, content, metadata)`, `recall(user_id, query, limit)`, and `delete_all(user_id)`. Enforce user isolation in every operation.</w:t>
            </w:r>
          </w:p>
        </w:tc>
      </w:tr>
      <w:tr>
        <w:tc>
          <w:tcPr>
            <w:tcW w:type="dxa" w:w="4968"/>
          </w:tcPr>
          <w:p>
            <w:r>
              <w:t>VoiceService Protocol</w:t>
            </w:r>
          </w:p>
        </w:tc>
        <w:tc>
          <w:tcPr>
            <w:tcW w:type="dxa" w:w="4968"/>
          </w:tcPr>
          <w:p>
            <w:r>
              <w:t>Synthesize text by language/voice, transcribe audio, and expose usage/credit/fallback metadata as required.</w:t>
            </w:r>
          </w:p>
        </w:tc>
      </w:tr>
      <w:tr>
        <w:tc>
          <w:tcPr>
            <w:tcW w:type="dxa" w:w="4968"/>
          </w:tcPr>
          <w:p>
            <w:r>
              <w:t>POST /tts</w:t>
            </w:r>
          </w:p>
        </w:tc>
        <w:tc>
          <w:tcPr>
            <w:tcW w:type="dxa" w:w="4968"/>
          </w:tcPr>
          <w:p>
            <w:r>
              <w:t>Validate text and language, enforce usage limits, use safe caching, and signal fallback if provider generation fails.</w:t>
            </w:r>
          </w:p>
        </w:tc>
      </w:tr>
      <w:tr>
        <w:tc>
          <w:tcPr>
            <w:tcW w:type="dxa" w:w="4968"/>
          </w:tcPr>
          <w:p>
            <w:r>
              <w:t>POST /stt</w:t>
            </w:r>
          </w:p>
        </w:tc>
        <w:tc>
          <w:tcPr>
            <w:tcW w:type="dxa" w:w="4968"/>
          </w:tcPr>
          <w:p>
            <w:r>
              <w:t>Validate supported audio formats/size and return transcript plus status metadata.</w:t>
            </w:r>
          </w:p>
        </w:tc>
      </w:tr>
      <w:tr>
        <w:tc>
          <w:tcPr>
            <w:tcW w:type="dxa" w:w="4968"/>
          </w:tcPr>
          <w:p>
            <w:r>
              <w:t>POST /explainback</w:t>
            </w:r>
          </w:p>
        </w:tc>
        <w:tc>
          <w:tcPr>
            <w:tcW w:type="dxa" w:w="4968"/>
          </w:tcPr>
          <w:p>
            <w:r>
              <w:t>Implement the documented backend handshake and track relevant request/session state.</w:t>
            </w:r>
          </w:p>
        </w:tc>
      </w:tr>
    </w:tbl>
    <w:p>
      <w:pPr>
        <w:pStyle w:val="Heading1"/>
      </w:pPr>
      <w:r>
        <w:t>9. Suggested Repository Layout</w:t>
      </w:r>
    </w:p>
    <w:p>
      <w:r>
        <w:rPr>
          <w:rFonts w:ascii="Consolas" w:hAnsi="Consolas"/>
          <w:sz w:val="17"/>
        </w:rPr>
        <w:t>project/</w:t>
        <w:br/>
        <w:t xml:space="preserve">  codequest_rag/                  # Existing RAG module (adapt paths as needed)</w:t>
        <w:br/>
        <w:t xml:space="preserve">    app.py</w:t>
        <w:br/>
        <w:t xml:space="preserve">    leetcode_client.py</w:t>
        <w:br/>
        <w:t xml:space="preserve">    rag_store.py</w:t>
        <w:br/>
        <w:t xml:space="preserve">    answerer.py</w:t>
        <w:br/>
        <w:t xml:space="preserve">    config.py</w:t>
        <w:br/>
        <w:t xml:space="preserve">  backend/</w:t>
        <w:br/>
        <w:t xml:space="preserve">    api/</w:t>
        <w:br/>
        <w:t xml:space="preserve">      chat_routes.py               # /chat/* and SSE</w:t>
        <w:br/>
        <w:t xml:space="preserve">      voice_routes.py              # /tts, /stt, /explainback</w:t>
        <w:br/>
        <w:t xml:space="preserve">    agents/</w:t>
        <w:br/>
        <w:t xml:space="preserve">      chat_agent.py</w:t>
        <w:br/>
        <w:t xml:space="preserve">      tool_registry.py              # get_history, run_analysis, get_hint, explain_concept</w:t>
        <w:br/>
        <w:t xml:space="preserve">      safety.py                     # Guard adapter and refusal policy</w:t>
        <w:br/>
        <w:t xml:space="preserve">    services/</w:t>
        <w:br/>
        <w:t xml:space="preserve">      profile_rag_service.py        # Adapter around CodeQuest RAG</w:t>
        <w:br/>
        <w:t xml:space="preserve">      memory_service.py             # Per-user conversational memory</w:t>
        <w:br/>
        <w:t xml:space="preserve">      voice_service.py              # ElevenLabs adapter</w:t>
        <w:br/>
        <w:t xml:space="preserve">    protocols/</w:t>
        <w:br/>
        <w:t xml:space="preserve">      memory.py</w:t>
        <w:br/>
        <w:t xml:space="preserve">      voice.py</w:t>
        <w:br/>
        <w:t xml:space="preserve">    evals/</w:t>
        <w:br/>
        <w:t xml:space="preserve">      test_prompt_injection.py</w:t>
        <w:br/>
        <w:t xml:space="preserve">      test_user_isolation.py</w:t>
        <w:br/>
        <w:t xml:space="preserve">      test_tool_calls.py</w:t>
        <w:br/>
        <w:t xml:space="preserve">      test_refusals.py</w:t>
        <w:br/>
        <w:t xml:space="preserve">  data/                              # Local development data; protect/ignore in VCS</w:t>
        <w:br/>
        <w:t xml:space="preserve">  .env                               # Secrets; never commit</w:t>
        <w:br/>
        <w:t xml:space="preserve">  .env.example                       # Variable names only, no real secrets</w:t>
        <w:br/>
        <w:t xml:space="preserve">  requirements.txt</w:t>
      </w:r>
    </w:p>
    <w:p>
      <w:r>
        <w:t>This is a suggested layout, not a claim that these folders already exist. Keep the current repository layout if preferred and add adapters incrementally.</w:t>
      </w:r>
    </w:p>
    <w:p>
      <w:pPr>
        <w:pStyle w:val="Heading1"/>
      </w:pPr>
      <w:r>
        <w:t>10. API and Error Contract Recommendations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Suggested endpoint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POST /chat/{thread_id}/messages</w:t>
            </w:r>
          </w:p>
        </w:tc>
        <w:tc>
          <w:tcPr>
            <w:tcW w:type="dxa" w:w="4968"/>
          </w:tcPr>
          <w:p>
            <w:r>
              <w:t>Validate thread ownership, run the agent/tool loop, and return or stream events.</w:t>
            </w:r>
          </w:p>
        </w:tc>
      </w:tr>
      <w:tr>
        <w:tc>
          <w:tcPr>
            <w:tcW w:type="dxa" w:w="4968"/>
          </w:tcPr>
          <w:p>
            <w:r>
              <w:t>GET /chat/{thread_id}/events (optional)</w:t>
            </w:r>
          </w:p>
        </w:tc>
        <w:tc>
          <w:tcPr>
            <w:tcW w:type="dxa" w:w="4968"/>
          </w:tcPr>
          <w:p>
            <w:r>
              <w:t>Separate SSE stream if message submission and streaming use separate requests.</w:t>
            </w:r>
          </w:p>
        </w:tc>
      </w:tr>
      <w:tr>
        <w:tc>
          <w:tcPr>
            <w:tcW w:type="dxa" w:w="4968"/>
          </w:tcPr>
          <w:p>
            <w:r>
              <w:t>POST /tts</w:t>
            </w:r>
          </w:p>
        </w:tc>
        <w:tc>
          <w:tcPr>
            <w:tcW w:type="dxa" w:w="4968"/>
          </w:tcPr>
          <w:p>
            <w:r>
              <w:t>Accept text and language/voice options; return audio or a safe cache reference plus usage/fallback metadata.</w:t>
            </w:r>
          </w:p>
        </w:tc>
      </w:tr>
      <w:tr>
        <w:tc>
          <w:tcPr>
            <w:tcW w:type="dxa" w:w="4968"/>
          </w:tcPr>
          <w:p>
            <w:r>
              <w:t>POST /stt</w:t>
            </w:r>
          </w:p>
        </w:tc>
        <w:tc>
          <w:tcPr>
            <w:tcW w:type="dxa" w:w="4968"/>
          </w:tcPr>
          <w:p>
            <w:r>
              <w:t>Accept audio and return transcript plus provider/status metadata.</w:t>
            </w:r>
          </w:p>
        </w:tc>
      </w:tr>
      <w:tr>
        <w:tc>
          <w:tcPr>
            <w:tcW w:type="dxa" w:w="4968"/>
          </w:tcPr>
          <w:p>
            <w:r>
              <w:t>POST /explainback</w:t>
            </w:r>
          </w:p>
        </w:tc>
        <w:tc>
          <w:tcPr>
            <w:tcW w:type="dxa" w:w="4968"/>
          </w:tcPr>
          <w:p>
            <w:r>
              <w:t>Start or continue the explain-back handshake with the backend.</w:t>
            </w:r>
          </w:p>
        </w:tc>
      </w:tr>
    </w:tbl>
    <w:p>
      <w:r>
        <w:t>Choose one consistent SSE design (stream on the POST response or use a separate events endpoint); these paths are examples, not a final mandated API.</w:t>
      </w:r>
    </w:p>
    <w:p>
      <w:pPr>
        <w:pStyle w:val="Heading1"/>
      </w:pPr>
      <w:r>
        <w:t>11. Acceptance Checklist</w:t>
      </w:r>
    </w:p>
    <w:p>
      <w:pPr>
        <w:pStyle w:val="ListBullet"/>
      </w:pPr>
      <w:r>
        <w:t>☐ A public profile can be synced and a JSON snapshot is written.</w:t>
      </w:r>
    </w:p>
    <w:p>
      <w:pPr>
        <w:pStyle w:val="ListBullet"/>
      </w:pPr>
      <w:r>
        <w:t>☐ Expected profile sections are indexed; unavailable sections are clearly marked.</w:t>
      </w:r>
    </w:p>
    <w:p>
      <w:pPr>
        <w:pStyle w:val="ListBullet"/>
      </w:pPr>
      <w:r>
        <w:t>☐ A specific question retrieves evidence scoped to the requested LeetCode username.</w:t>
      </w:r>
    </w:p>
    <w:p>
      <w:pPr>
        <w:pStyle w:val="ListBullet"/>
      </w:pPr>
      <w:r>
        <w:t>☐ Answers identify supporting evidence and do not invent missing fields.</w:t>
      </w:r>
    </w:p>
    <w:p>
      <w:pPr>
        <w:pStyle w:val="ListBullet"/>
      </w:pPr>
      <w:r>
        <w:t>☐ Gemini 503/429/timeouts produce bounded retries and a useful fallback.</w:t>
      </w:r>
    </w:p>
    <w:p>
      <w:pPr>
        <w:pStyle w:val="ListBullet"/>
      </w:pPr>
      <w:r>
        <w:t>☐ The four tools are registered explicitly, schema-validated and authorization-checked.</w:t>
      </w:r>
    </w:p>
    <w:p>
      <w:pPr>
        <w:pStyle w:val="ListBullet"/>
      </w:pPr>
      <w:r>
        <w:t>☐ Prompt-injection tests confirm retrieved text/tool outputs cannot override system policy.</w:t>
      </w:r>
    </w:p>
    <w:p>
      <w:pPr>
        <w:pStyle w:val="ListBullet"/>
      </w:pPr>
      <w:r>
        <w:t>☐ Two authenticated users cannot access each other's chat history or conversational memory.</w:t>
      </w:r>
    </w:p>
    <w:p>
      <w:pPr>
        <w:pStyle w:val="ListBullet"/>
      </w:pPr>
      <w:r>
        <w:t>☐ Memory remember/recall/delete-all operations are tested for user isolation.</w:t>
      </w:r>
    </w:p>
    <w:p>
      <w:pPr>
        <w:pStyle w:val="ListBullet"/>
      </w:pPr>
      <w:r>
        <w:t>☐ TTS/STT limits, caching, language selection, provider errors and fallback signals are tested.</w:t>
      </w:r>
    </w:p>
    <w:p>
      <w:pPr>
        <w:pStyle w:val="ListBullet"/>
      </w:pPr>
      <w:r>
        <w:t>☐ Guard/refusal, tool-call correctness, language-following and SSE behavior have automated tests.</w:t>
      </w:r>
    </w:p>
    <w:p>
      <w:pPr>
        <w:pStyle w:val="ListBullet"/>
      </w:pPr>
      <w:r>
        <w:t>☐ Secrets and user-specific data are excluded from source control and logs.</w:t>
      </w:r>
    </w:p>
    <w:p>
      <w:pPr>
        <w:pStyle w:val="Heading1"/>
      </w:pPr>
      <w:r>
        <w:t>12. Implementation Notes and Caveats</w:t>
      </w:r>
    </w:p>
    <w:p>
      <w:pPr>
        <w:pStyle w:val="ListBullet"/>
      </w:pPr>
      <w:r>
        <w:t>The shared terminal output confirms 69 documents were indexed for the tested profile; counts can change with profile data and implementation changes.</w:t>
      </w:r>
    </w:p>
    <w:p>
      <w:pPr>
        <w:pStyle w:val="ListBullet"/>
      </w:pPr>
      <w:r>
        <w:t>The tested profile returned contest data as empty_or_unavailable. Preserve this distinction rather than treating it as zero contests.</w:t>
      </w:r>
    </w:p>
    <w:p>
      <w:pPr>
        <w:pStyle w:val="ListBullet"/>
      </w:pPr>
      <w:r>
        <w:t>The shared run showed a Gemini 503 high-demand error. Handle it separately from retrieval failures.</w:t>
      </w:r>
    </w:p>
    <w:p>
      <w:pPr>
        <w:pStyle w:val="ListBullet"/>
      </w:pPr>
      <w:r>
        <w:t>The Hugging Face unauthenticated warning did not prevent embedding model loading in the observed run. A token may improve rate limits but must be kept secret.</w:t>
      </w:r>
    </w:p>
    <w:p>
      <w:pPr>
        <w:pStyle w:val="ListBullet"/>
      </w:pPr>
      <w:r>
        <w:t>Inspect the actual current source files and dependency versions before production integration; add tests around exact schemas and behavior.</w:t>
      </w:r>
    </w:p>
    <w:p>
      <w:pPr>
        <w:pStyle w:val="Heading1"/>
      </w:pPr>
      <w:r>
        <w:t>13. Recommended Integration Sequence</w:t>
      </w:r>
    </w:p>
    <w:p>
      <w:pPr>
        <w:pStyle w:val="ListNumber"/>
      </w:pPr>
      <w:r>
        <w:t>Freeze current RAG behavior with unit tests and a sample profile fixture.</w:t>
      </w:r>
    </w:p>
    <w:p>
      <w:pPr>
        <w:pStyle w:val="ListNumber"/>
      </w:pPr>
      <w:r>
        <w:t>Wrap RAG functions in ProfileRAGService; keep CLI commands as a development interface.</w:t>
      </w:r>
    </w:p>
    <w:p>
      <w:pPr>
        <w:pStyle w:val="ListNumber"/>
      </w:pPr>
      <w:r>
        <w:t>Implement authentication and thread ownership before exposing chat tools.</w:t>
      </w:r>
    </w:p>
    <w:p>
      <w:pPr>
        <w:pStyle w:val="ListNumber"/>
      </w:pPr>
      <w:r>
        <w:t>Register and validate the four tools through a restricted registry.</w:t>
      </w:r>
    </w:p>
    <w:p>
      <w:pPr>
        <w:pStyle w:val="ListNumber"/>
      </w:pPr>
      <w:r>
        <w:t>Add Guard, refusal behavior, prompt-injection defenses, bounded retries and deterministic fallback.</w:t>
      </w:r>
    </w:p>
    <w:p>
      <w:pPr>
        <w:pStyle w:val="ListNumber"/>
      </w:pPr>
      <w:r>
        <w:t>Implement per-user conversational memory separately from LeetCode profile indexing.</w:t>
      </w:r>
    </w:p>
    <w:p>
      <w:pPr>
        <w:pStyle w:val="ListNumber"/>
      </w:pPr>
      <w:r>
        <w:t>Add ElevenLabs TTS and Scribe STT behind VoiceService, including caps, cache, usage meter and fallback signals.</w:t>
      </w:r>
    </w:p>
    <w:p>
      <w:pPr>
        <w:pStyle w:val="ListNumber"/>
      </w:pPr>
      <w:r>
        <w:t>Add /chat/*, /tts, /stt and /explainback endpoints and test SSE behavior.</w:t>
      </w:r>
    </w:p>
    <w:p>
      <w:pPr>
        <w:pStyle w:val="ListNumber"/>
      </w:pPr>
      <w:r>
        <w:t>Run security evaluations, isolation tests and provider-failure tests before release.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CodeQuest AI | RAG Integration Specification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