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2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CREDIT APPRAISAL MEMORANDUM</w:t>
      </w:r>
    </w:p>
    <w:p>
      <w:pPr>
        <w:pBdr>
          <w:bottom w:val="single" w:color="2E5FA3" w:sz="6" w:space="4"/>
        </w:pBdr>
        <w:spacing w:before="0"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Generated via KARTA AI Intelligence</w:t>
      </w:r>
    </w:p>
    <w:p>
      <w:pPr>
        <w:spacing w:before="80" w:after="80"/>
      </w:pPr>
      <w:r>
        <w:t xml:space="preserve"/>
      </w:r>
    </w:p>
    <w:p>
      <w:pPr>
        <w:spacing w:before="120" w:after="40"/>
        <w:jc w:val="center"/>
      </w:pPr>
      <w:r>
        <w:rPr>
          <w:rFonts w:ascii="Arial" w:cs="Arial" w:eastAsia="Arial" w:hAnsi="Arial"/>
          <w:b/>
          <w:bCs/>
          <w:color w:val="2E5FA3"/>
          <w:sz w:val="32"/>
          <w:szCs w:val="32"/>
        </w:rPr>
        <w:t xml:space="preserve">Bharat Precision Components Pvt. Ltd.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CIN: U29299GJ2011PTC064872  |  GSTIN: 24AABCB1234M1ZX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Plot No. 47-B, GIDC Vatva, Ahmedabad – 382 445, Gujarat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Date: 2026-03-27</w:t>
      </w:r>
    </w:p>
    <w:p>
      <w:pPr>
        <w:shd w:fill="1E6B3C" w:val="clear"/>
        <w:spacing w:before="160" w:after="16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✔  APPROVED</w:t>
      </w:r>
    </w:p>
    <w:p>
      <w:pPr>
        <w:spacing w:before="100" w:after="60"/>
        <w:jc w:val="center"/>
      </w:pPr>
      <w:r>
        <w:rPr>
          <w:rFonts w:ascii="Arial" w:cs="Arial" w:eastAsia="Arial" w:hAnsi="Arial"/>
          <w:b/>
          <w:bCs/>
          <w:color w:val="1E6B3C"/>
          <w:sz w:val="22"/>
          <w:szCs w:val="22"/>
        </w:rPr>
        <w:t xml:space="preserve">KARTA Risk Score: 27.8%  |  Probability of Default: LOW</w:t>
      </w:r>
    </w:p>
    <w:p>
      <w:pPr>
        <w:spacing w:before="80" w:after="80"/>
      </w:pPr>
      <w:r>
        <w:t xml:space="preserve"/>
      </w:r>
    </w:p>
    <w:p>
      <w:pPr>
        <w:spacing w:before="80" w:after="80"/>
        <w:jc w:val="center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PROPOSED FACILITY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Loan Type</w:t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Loan Amount</w:t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 EMI (Monthly)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Term Loan – Capital Equipment</w:t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₹ 125.00 Lakhs</w:t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₹ 2,29,167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bottom w:val="single" w:color="2E5FA3" w:sz="8" w:space="1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VERIFICATION DETAIL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verification process for this application has revealed the following details: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Residence Verif.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Positive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Supplier KYC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Positive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Banker Ref. (SBI Vatva)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Satisfactory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FCU Report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Clean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Market Check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Positive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Auditor Check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Positive</w:t>
            </w:r>
          </w:p>
        </w:tc>
      </w:tr>
      <w:tr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On-site Visit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Completed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Director CIBIL</w:t>
            </w:r>
          </w:p>
        </w:tc>
        <w:tc>
          <w:tcPr>
            <w:tcW w:type="dxa" w:w="23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700+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Residence: The applicant's registered office at GIDC Vatva, Ahmedabad is verified and stable.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Bankers: SBI Vatva GIDC Branch account operational since FY23; OD facility of Rs.60 Lakhs sanctioned, utilisation 58%.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Creditors: No outstanding adverse creditor balances found.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Market Check: Positive reputation among customers and peers in the precision components segment.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FCU Check: No adverse credit history detected.</w:t>
      </w:r>
    </w:p>
    <w:p>
      <w:pPr>
        <w:spacing w:before="80" w:after="80"/>
      </w:pPr>
      <w:r>
        <w:t xml:space="preserve"/>
      </w:r>
    </w:p>
    <w:p>
      <w:pPr>
        <w:pBdr>
          <w:bottom w:val="single" w:color="2E5FA3" w:sz="8" w:space="1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GUARANTOR DETAIL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personal guarantor for this application is Mr. Rajesh M. Patel (Managing Director, DIN: 02930211), residing in Ahmedabad. The Director's CIBIL score is above 700, which is considered satisfactory. Income sources include director's remuneration and business profits, providing stable financial backing.</w:t>
      </w:r>
    </w:p>
    <w:p>
      <w:pPr>
        <w:spacing w:before="80" w:after="80"/>
      </w:pPr>
      <w:r>
        <w:t xml:space="preserve"/>
      </w:r>
    </w:p>
    <w:p>
      <w:pPr>
        <w:pBdr>
          <w:bottom w:val="single" w:color="2E5FA3" w:sz="8" w:space="1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REFERENCE CHECK BY CREDIT ANALYST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Machine / Equipment Supplier: Confirmed timely payments and a positive business relationship.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Customers: Gujarat State Corporation, Bhavnagar Casting, Shree Polymers, Tulsidas Metals – all confirm regular and timely receivables from Bharat Precision.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Bankers – SBI Vatva: Account maintained since FY23 with OD utilisation averaging ~58%; 2 EMI bounces noted in Jun-23 and Sep-23 – subsequently regularised.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Competitors/Peers: Competitive positioning in precision components supply chain for Gujarat industrial sector.</w:t>
      </w:r>
    </w:p>
    <w:p>
      <w:pPr>
        <w:spacing w:before="80" w:after="80"/>
      </w:pPr>
      <w:r>
        <w:t xml:space="preserve"/>
      </w:r>
    </w:p>
    <w:p>
      <w:pPr>
        <w:pBdr>
          <w:bottom w:val="single" w:color="2E5FA3" w:sz="8" w:space="1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COMPLIANCES &amp; LEGAL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4160"/>
      </w:tblGrid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Compliance Item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Observation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Income Tax Filing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Verified</w:t>
            </w:r>
          </w:p>
        </w:tc>
        <w:tc>
          <w:tcPr>
            <w:tcW w:type="dxa" w:w="4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Assessed via ITR-V patterns; no outstanding demand.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GST Compliance (GSTR-3B)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Filed – 2 Late</w:t>
            </w:r>
          </w:p>
        </w:tc>
        <w:tc>
          <w:tcPr>
            <w:tcW w:type="dxa" w:w="4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Sep-23 (22 days late) &amp; Feb-24 (8 days late); late fees paid.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GSTR-2A ITC Mismatch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Flagged</w:t>
            </w:r>
          </w:p>
        </w:tc>
        <w:tc>
          <w:tcPr>
            <w:tcW w:type="dxa" w:w="4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Excess ITC claimed Rs.15.35 Lakhs (34.1% above supplier-reported). Clarification required.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MCA Filings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Up-to-Date</w:t>
            </w:r>
          </w:p>
        </w:tc>
        <w:tc>
          <w:tcPr>
            <w:tcW w:type="dxa" w:w="4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Verified against MCA21 portal; all ROC filings current.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Default History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NIL</w:t>
            </w:r>
          </w:p>
        </w:tc>
        <w:tc>
          <w:tcPr>
            <w:tcW w:type="dxa" w:w="4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loan defaults detected; EMI bounce events regularised.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Litigations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416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 ongoing legal disputes reported.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5FA3" w:sz="8" w:space="1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CAT SHEET – FINANCIAL SUMMARY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Financial data sourced from the audited Balance Sheet as at 31st March 2024 (FY 2023-24) for Bharat Precision Components Pvt. Ltd.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Particulars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FY 2023-24 (Rs. Lakhs)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FY 2022-23 (Rs. Lakhs)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FY 2021-22 (Rs. Lakhs)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Share Capital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485.00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485.00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485.00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Reserves &amp; Surplus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312.47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489.63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621.84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Shareholders' Funds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797.47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974.63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1,106.84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Long-Term Borrowings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1,842.30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1,654.90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1,320.50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Non-Current Liabilities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1,912.67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1,736.10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1,411.00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Short-Term Borrowings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624.80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548.20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410.30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Trade Payables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387.42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312.60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268.90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Current Liabilities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1,138.00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976.90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775.70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EQUITY &amp; LIABILITIES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3,848.14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3,687.63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3,293.54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Fixed Assets (Tangible + WIP)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1,727.50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1,808.60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1,859.50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Inventories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684.20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612.40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548.30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Trade Receivables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742.84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648.20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512.40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Cash &amp; Cash Equivalents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48.32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89.64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142.80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Current Assets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1,939.84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1,709.03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1,481.74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ASSETS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3,848.14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3,687.63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3,493.54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Note: FY24 records a loss of Rs.177.16 Lakhs adjusted against General Reserves (Board Resolution dated 28-May-2024). The declining reserves trend warrants monitoring but does not impair repayment capacity given strong asset base.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bottom w:val="single" w:color="2E5FA3" w:sz="8" w:space="1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FINANCIAL RATIOS &amp; PERFORMANCE VS. SECTOR BENCHMARKS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Company FY24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Sector Benchmark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Assessment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Current Ratio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1.70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1.50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✔ Above Benchmark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Debt to Equity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3.11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2.00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⚠ Elevated – Monitoring Required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EBITDA Margin (%)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~8%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7–10%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✔ Acceptable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Net Margin (%)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~2%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3–5%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⚠ Below Benchmark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Interest Coverage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~1.8x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2.0x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⚠ Borderline – Improving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DSCR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1.35x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1.25x</w:t>
            </w:r>
          </w:p>
        </w:tc>
        <w:tc>
          <w:tcPr>
            <w:tcW w:type="dxa" w:w="20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✔ Above Minimum Threshold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5FA3" w:sz="8" w:space="1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 BANK STATEMENT ANALYSIS – SBI (APR-23 TO MAR-24)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Account: SBI Vatva GIDC Branch  |  A/c No.: 38291047562  |  OD Limit: Rs.60,00,000  |  Utilisation: 58%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Observation</w:t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Assessment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Closing Balance (Mar-24)</w:t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Rs. 67,528.40</w:t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Positive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OD Outstanding (Mar-24)</w:t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Rs. 34,80,000</w:t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58% of limit – Acceptable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EMI Bounces</w:t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 (Jun-23, Sep-23)</w:t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⚠ Regularised; Late fee paid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Monthly Inflows (avg)</w:t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~Rs. 4.5–5.5 Lakhs</w:t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Regular from key customers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Salary Credits</w:t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Rs. 4,82,000/month (regular)</w:t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Consistent payroll management</w:t>
            </w:r>
          </w:p>
        </w:tc>
      </w:tr>
      <w:tr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GST Outflows</w:t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Regular monthly payments</w:t>
            </w:r>
          </w:p>
        </w:tc>
        <w:tc>
          <w:tcPr>
            <w:tcW w:type="dxa" w:w="31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Compliance maintained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5FA3" w:sz="8" w:space="1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 GST FILING ANALYSIS (GSTR-3B) – FY 2023-24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680"/>
        <w:gridCol w:w="1680"/>
        <w:gridCol w:w="1680"/>
        <w:gridCol w:w="1680"/>
        <w:gridCol w:w="1200"/>
      </w:tblGrid>
      <w:tr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Tax Period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Filing Date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CGST (Rs.)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SGST (Rs.)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IGST (Rs.)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Apr-23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May-23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4,82,640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3,86,800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86,875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Time</w:t>
            </w:r>
          </w:p>
        </w:tc>
      </w:tr>
      <w:tr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May-23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Jun-23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5,14,820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4,22,400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92,668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Time</w:t>
            </w:r>
          </w:p>
        </w:tc>
      </w:tr>
      <w:tr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Jun-23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Jul-23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4,68,200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3,91,000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84,276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Time</w:t>
            </w:r>
          </w:p>
        </w:tc>
      </w:tr>
      <w:tr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Jul-23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Aug-23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5,32,400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4,48,200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95,832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Time</w:t>
            </w:r>
          </w:p>
        </w:tc>
      </w:tr>
      <w:tr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Aug-23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Sep-23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4,92,180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4,08,400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88,592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Time</w:t>
            </w:r>
          </w:p>
        </w:tc>
      </w:tr>
      <w:tr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Sep-23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Oct-23 *LATE*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5,21,640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4,18,200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93,895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Late (22 days)</w:t>
            </w:r>
          </w:p>
        </w:tc>
      </w:tr>
      <w:tr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Oct-23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Nov-23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4,78,900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3,94,200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86,202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Time</w:t>
            </w:r>
          </w:p>
        </w:tc>
      </w:tr>
      <w:tr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Nov-23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Dec-23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5,08,420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4,12,800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91,516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Time</w:t>
            </w:r>
          </w:p>
        </w:tc>
      </w:tr>
      <w:tr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Dec-23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Jan-24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4,84,600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3,88,400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87,228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Time</w:t>
            </w:r>
          </w:p>
        </w:tc>
      </w:tr>
      <w:tr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Jan-24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Feb-24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5,18,240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4,24,600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93,283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Time</w:t>
            </w:r>
          </w:p>
        </w:tc>
      </w:tr>
      <w:tr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Feb-24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Mar-24 *LATE*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4,62,800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3,82,200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83,304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Late (8 days)</w:t>
            </w:r>
          </w:p>
        </w:tc>
      </w:tr>
      <w:tr>
        <w:tc>
          <w:tcPr>
            <w:tcW w:type="dxa" w:w="14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Mar-24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Apr-24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5,28,640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4,44,800</w:t>
            </w:r>
          </w:p>
        </w:tc>
        <w:tc>
          <w:tcPr>
            <w:tcW w:type="dxa" w:w="1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95,155</w:t>
            </w:r>
          </w:p>
        </w:tc>
        <w:tc>
          <w:tcPr>
            <w:tcW w:type="dxa" w:w="1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Time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Annual GSTR-3B Outward Tax: Rs. 45,03,648 | ITC Claimed (3B): Rs. 45,03,648 | ITC per GSTR-2A (Supplier): Rs. 29,68,220</w:t>
      </w:r>
    </w:p>
    <w:p>
      <w:pPr>
        <w:spacing w:before="60" w:after="60"/>
      </w:pPr>
      <w:r>
        <w:rPr>
          <w:rFonts w:ascii="Arial" w:cs="Arial" w:eastAsia="Arial" w:hAnsi="Arial"/>
          <w:color w:val="B85000"/>
          <w:sz w:val="20"/>
          <w:szCs w:val="20"/>
        </w:rPr>
        <w:t xml:space="preserve">⚠ ITC Mismatch Alert: Excess ITC of Rs.15,35,428 (34.1%) claimed over supplier-reported figures. This is a risk flag and will be subject to conditions of approval.</w:t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Bdr>
          <w:bottom w:val="single" w:color="2E5FA3" w:sz="8" w:space="1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 GROUP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Financial Indicator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Assets (FY24)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Rs. 3,848.14 Lakhs</w:t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Shareholders' Funds / Net Worth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Rs. 797.47 Lakhs</w:t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Debt (LT + ST Borrowings)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Rs. 2,467.10 Lakhs</w:t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Debt-to-Equity Ratio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3.11x</w:t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Consolidated DSCR (Estimated)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1.35x</w:t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Recommended Loan Amount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Rs. 125.00 Lakhs</w:t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Recommended EMI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Rs. 2,29,167 per month</w:t>
            </w:r>
          </w:p>
        </w:tc>
      </w:tr>
      <w:tr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Collateral Coverage Requirement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1.5x (Rs. 187.5 Lakhs)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5FA3" w:sz="8" w:space="1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 VISIT REPORT BY CREDIT ANALYST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The applicant's premises at GIDC Vatva are well-maintained and organised.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Production facilities for precision components are modern and operational.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Management team (MD Mr. Rajesh M. Patel and CFO Mr. Sunil K. Shah) demonstrated thorough understanding of operations and financials.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significant operational concerns were observed during the site visit.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Inventory levels corroborated with balance sheet figures.</w:t>
      </w:r>
    </w:p>
    <w:p>
      <w:pPr>
        <w:spacing w:before="80" w:after="80"/>
      </w:pPr>
      <w:r>
        <w:t xml:space="preserve"/>
      </w:r>
    </w:p>
    <w:p>
      <w:pPr>
        <w:pBdr>
          <w:bottom w:val="single" w:color="2E5FA3" w:sz="8" w:space="1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11. CONDITIONS FOR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00"/>
        <w:gridCol w:w="4680"/>
      </w:tblGrid>
      <w:tr>
        <w:tc>
          <w:tcPr>
            <w:tcW w:type="dxa" w:w="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Remarks</w:t>
            </w:r>
          </w:p>
        </w:tc>
      </w:tr>
      <w:tr>
        <w:tc>
          <w:tcPr>
            <w:tcW w:type="dxa" w:w="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Collateral: Mortgage of factory premises at GIDC Vatva.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Collateral coverage ratio ≥ 1.5x of loan amount (Rs. 187.5 Lakhs). Documents to be verified.</w:t>
            </w:r>
          </w:p>
        </w:tc>
      </w:tr>
      <w:tr>
        <w:tc>
          <w:tcPr>
            <w:tcW w:type="dxa" w:w="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GST ITC Mismatch Reconciliation.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Borrower to submit a written reconciliation statement for the excess ITC of Rs.15.35 Lakhs before disbursement.</w:t>
            </w:r>
          </w:p>
        </w:tc>
      </w:tr>
      <w:tr>
        <w:tc>
          <w:tcPr>
            <w:tcW w:type="dxa" w:w="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EMI Bounce Undertaking.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Borrower to provide a standing instruction/NACH mandate and an undertaking for non-recurrence.</w:t>
            </w:r>
          </w:p>
        </w:tc>
      </w:tr>
      <w:tr>
        <w:tc>
          <w:tcPr>
            <w:tcW w:type="dxa" w:w="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Personal Guarantee of Directors.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PG from Mr. Rajesh M. Patel (MD) and Mr. Sunil K. Shah (CFO) mandatory.</w:t>
            </w:r>
          </w:p>
        </w:tc>
      </w:tr>
      <w:tr>
        <w:tc>
          <w:tcPr>
            <w:tcW w:type="dxa" w:w="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Quarterly Financial Reporting.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Borrower to submit quarterly financials to lender for ongoing monitoring.</w:t>
            </w:r>
          </w:p>
        </w:tc>
      </w:tr>
      <w:tr>
        <w:tc>
          <w:tcPr>
            <w:tcW w:type="dxa" w:w="4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Insurance of Assets.</w:t>
            </w:r>
          </w:p>
        </w:tc>
        <w:tc>
          <w:tcPr>
            <w:tcW w:type="dxa" w:w="468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All collateral assets to be insured with lender as loss-payee.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5FA3" w:sz="8" w:space="1"/>
        </w:pBdr>
        <w:spacing w:before="240" w:after="1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12. CREDIT ANALYST RECOMMENDATION</w:t>
      </w:r>
    </w:p>
    <w:p>
      <w:pPr>
        <w:pBdr>
          <w:left w:val="single" w:color="1E6B3C" w:sz="16"/>
        </w:pBdr>
        <w:shd w:fill="D5F0E0" w:val="clear"/>
        <w:spacing w:before="80" w:after="80"/>
      </w:pPr>
      <w:r>
        <w:rPr>
          <w:rFonts w:ascii="Arial" w:cs="Arial" w:eastAsia="Arial" w:hAnsi="Arial"/>
          <w:b/>
          <w:bCs/>
          <w:color w:val="1E6B3C"/>
          <w:sz w:val="22"/>
          <w:szCs w:val="22"/>
        </w:rPr>
        <w:t xml:space="preserve">  RECOMMENDED FOR APPROVAL  subject to the conditions listed in Section 11.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Bharat Precision Components Pvt. Ltd. is an established precision engineering firm with over a decade of operations at GIDC Vatva, Ahmedabad. Despite a net loss in FY24 (adjusted against reserves), the company maintains a strong asset base of Rs. 3,848 Lakhs, a positive current ratio of 1.70x, and a DSCR above the minimum threshold. Cash flows from banking transactions confirm regular business activity and consistent repayment capacity.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primary risk factors – an ITC mismatch in GST filings and two historical EMI bounces – are manageable and have been addressed as conditions for approval. The KARTA Risk Score of 27.8% places the company in the LOW risk category, and the recommended loan of Rs. 125 Lakhs is commensurate with the company's repayment capacity.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Credit Analyst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Signature: _______________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Date: ___________________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Credit Manager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Signature: _______________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Date: ___________________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Approving Authority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Signature: _______________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Date: ___________________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top w:val="single" w:color="2E5FA3" w:sz="4"/>
        </w:pBdr>
        <w:spacing w:before="120" w:after="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This memorandum is CONFIDENTIAL and generated by KARTA AI Credit Intelligence Platform.</w:t>
      </w:r>
    </w:p>
    <w:p>
      <w:r>
        <w:br w:type="page"/>
      </w:r>
    </w:p>
    <w:p>
      <w:r>
        <w:t>Financial Ratios</w:t>
      </w:r>
    </w:p>
    <w:p>
      <w:pPr>
        <w:jc w:val="left"/>
      </w:pPr>
      <w:r>
        <w:rPr>
          <w:b/>
          <w:sz w:val="32"/>
        </w:rPr>
        <w:t>Financial Ratios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Ratio</w:t>
            </w:r>
          </w:p>
        </w:tc>
        <w:tc>
          <w:tcPr>
            <w:tcW w:type="dxa" w:w="2520"/>
          </w:tcPr>
          <w:p>
            <w:r>
              <w:t>Observed</w:t>
            </w:r>
          </w:p>
        </w:tc>
        <w:tc>
          <w:tcPr>
            <w:tcW w:type="dxa" w:w="2520"/>
          </w:tcPr>
          <w:p>
            <w:r>
              <w:t>Benchmark</w:t>
            </w:r>
          </w:p>
        </w:tc>
        <w:tc>
          <w:tcPr>
            <w:tcW w:type="dxa" w:w="2520"/>
          </w:tcPr>
          <w:p>
            <w:r>
              <w:t>Status</w:t>
            </w:r>
          </w:p>
        </w:tc>
      </w:tr>
      <w:tr>
        <w:tc>
          <w:tcPr>
            <w:tcW w:type="dxa" w:w="2520"/>
          </w:tcPr>
          <w:p>
            <w:r>
              <w:t>Current Ratio</w:t>
            </w:r>
          </w:p>
        </w:tc>
        <w:tc>
          <w:tcPr>
            <w:tcW w:type="dxa" w:w="2520"/>
          </w:tcPr>
          <w:p>
            <w:r>
              <w:t>1.70</w:t>
            </w:r>
          </w:p>
        </w:tc>
        <w:tc>
          <w:tcPr>
            <w:tcW w:type="dxa" w:w="2520"/>
          </w:tcPr>
          <w:p>
            <w:r>
              <w:t>&gt;= 1.20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</w:tr>
      <w:tr>
        <w:tc>
          <w:tcPr>
            <w:tcW w:type="dxa" w:w="2520"/>
          </w:tcPr>
          <w:p>
            <w:r>
              <w:t>Debt to Equity</w:t>
            </w:r>
          </w:p>
        </w:tc>
        <w:tc>
          <w:tcPr>
            <w:tcW w:type="dxa" w:w="2520"/>
          </w:tcPr>
          <w:p>
            <w:r>
              <w:t>1.12</w:t>
            </w:r>
          </w:p>
        </w:tc>
        <w:tc>
          <w:tcPr>
            <w:tcW w:type="dxa" w:w="2520"/>
          </w:tcPr>
          <w:p>
            <w:r>
              <w:t>&lt;= 2.00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</w:tr>
      <w:tr>
        <w:tc>
          <w:tcPr>
            <w:tcW w:type="dxa" w:w="2520"/>
          </w:tcPr>
          <w:p>
            <w:r>
              <w:t>DSCR</w:t>
            </w:r>
          </w:p>
        </w:tc>
        <w:tc>
          <w:tcPr>
            <w:tcW w:type="dxa" w:w="2520"/>
          </w:tcPr>
          <w:p>
            <w:r>
              <w:t>1.35</w:t>
            </w:r>
          </w:p>
        </w:tc>
        <w:tc>
          <w:tcPr>
            <w:tcW w:type="dxa" w:w="2520"/>
          </w:tcPr>
          <w:p>
            <w:r>
              <w:t>&gt;= 1.20</w:t>
            </w:r>
          </w:p>
        </w:tc>
        <w:tc>
          <w:tcPr>
            <w:tcW w:type="dxa" w:w="2520"/>
          </w:tcPr>
          <w:p>
            <w:r>
              <w:t>PASS</w:t>
            </w:r>
          </w:p>
        </w:tc>
      </w:tr>
    </w:tbl>
    <w:p/>
    <w:p>
      <w:r>
        <w:t>Conditions for Approval</w:t>
      </w:r>
    </w:p>
    <w:p>
      <w:pPr>
        <w:jc w:val="left"/>
      </w:pPr>
      <w:r>
        <w:rPr>
          <w:b/>
          <w:sz w:val="32"/>
        </w:rPr>
        <w:t>Conditions for Approval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Sr. No.</w:t>
            </w:r>
          </w:p>
        </w:tc>
        <w:tc>
          <w:tcPr>
            <w:tcW w:type="dxa" w:w="5040"/>
          </w:tcPr>
          <w:p>
            <w:r>
              <w:t>Condition</w:t>
            </w:r>
          </w:p>
        </w:tc>
      </w:tr>
      <w:tr>
        <w:tc>
          <w:tcPr>
            <w:tcW w:type="dxa" w:w="5040"/>
          </w:tcPr>
          <w:p>
            <w:r>
              <w:t>1</w:t>
            </w:r>
          </w:p>
        </w:tc>
        <w:tc>
          <w:tcPr>
            <w:tcW w:type="dxa" w:w="5040"/>
          </w:tcPr>
          <w:p>
            <w:r>
              <w:t>Submit GST ITC reconciliation statement for 34.1% mismatch before first disbursement.</w:t>
            </w:r>
          </w:p>
        </w:tc>
      </w:tr>
      <w:tr>
        <w:tc>
          <w:tcPr>
            <w:tcW w:type="dxa" w:w="5040"/>
          </w:tcPr>
          <w:p>
            <w:r>
              <w:t>2</w:t>
            </w:r>
          </w:p>
        </w:tc>
        <w:tc>
          <w:tcPr>
            <w:tcW w:type="dxa" w:w="5040"/>
          </w:tcPr>
          <w:p>
            <w:r>
              <w:t>Maintain banking discipline; Jun-23 and Sep-23 EMI bounces are accepted as subsequently regularized.</w:t>
            </w:r>
          </w:p>
        </w:tc>
      </w:tr>
      <w:tr>
        <w:tc>
          <w:tcPr>
            <w:tcW w:type="dxa" w:w="5040"/>
          </w:tcPr>
          <w:p>
            <w:r>
              <w:t>3</w:t>
            </w:r>
          </w:p>
        </w:tc>
        <w:tc>
          <w:tcPr>
            <w:tcW w:type="dxa" w:w="5040"/>
          </w:tcPr>
          <w:p>
            <w:r>
              <w:t>Provide CA/Auditor note confirming FY 2023-24 loss of 177.16 Lakhs adjusted against reserves.</w:t>
            </w:r>
          </w:p>
        </w:tc>
      </w:tr>
    </w:tbl>
    <w:p>
      <w:r>
        <w:rPr>
          <w:b/>
        </w:rPr>
        <w:t>Final Recommendation: RECOMMENDED FOR APPROVAL subject to conditions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1"/>
      </w:pBdr>
      <w:tabs>
        <w:tab w:val="right" w:pos="9026"/>
      </w:tabs>
      <w:jc w:val="center"/>
    </w:pPr>
    <w:r>
      <w:t xml:space="preserve">Generated by KARTA AI automatically. |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 w:space="1"/>
      </w:pBdr>
      <w:jc w:val="right"/>
    </w:pPr>
    <w:r>
      <w:t>KARTA Credit Intelligence Platform | Bharat Precision Components Pvt. Ltd.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2026-03-27T17:47:01.462Z</dcterms:created>
  <dcterms:modified xsi:type="dcterms:W3CDTF">2026-03-27T17:47:01.463Z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