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2026-03-27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pPr>
        <w:pStyle w:val="Heading1"/>
      </w:pPr>
      <w:r>
        <w:t>GUARANTOR DETAIL</w:t>
      </w:r>
    </w:p>
    <w:p>
      <w:r>
        <w:t>Guarantor review initiated based on available company records.</w:t>
      </w:r>
    </w:p>
    <w:p>
      <w:pPr>
        <w:pStyle w:val="Heading1"/>
      </w:pPr>
      <w:r>
        <w:t>REFERENCE CHECK BY CREDIT ANALYST</w:t>
      </w:r>
    </w:p>
    <w:p>
      <w:r>
        <w:t>Company evaluated: Shree Metalcast Industries Pvt. Ltd..</w:t>
      </w:r>
    </w:p>
    <w:p>
      <w:pPr>
        <w:pStyle w:val="Heading2"/>
      </w:pPr>
      <w:r>
        <w:t>Decision: REJECT. Probability of default: 98.00%.</w:t>
      </w:r>
    </w:p>
    <w:p>
      <w:pPr>
        <w:pStyle w:val="Heading2"/>
      </w:pPr>
      <w:r>
        <w:t>Data quality score: 12.0/100.</w:t>
      </w:r>
    </w:p>
    <w:p>
      <w:pPr>
        <w:pStyle w:val="Heading2"/>
      </w:pPr>
      <w:r>
        <w:t>Fraud risk level: HIGH. News risk score: 0.0/100.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1"/>
      </w:pPr>
      <w:r>
        <w:t>CAT SHEET</w:t>
      </w:r>
    </w:p>
    <w:p>
      <w:pPr>
        <w:pStyle w:val="Heading2"/>
      </w:pPr>
      <w:r>
        <w:t>Recommended loan amount: INR 5,143.</w:t>
      </w:r>
    </w:p>
    <w:p>
      <w:pPr>
        <w:pStyle w:val="Heading2"/>
      </w:pPr>
      <w:r>
        <w:t>Recommended interest rate: 17.50%.</w:t>
      </w:r>
    </w:p>
    <w:p>
      <w:pPr>
        <w:pStyle w:val="Heading1"/>
      </w:pPr>
      <w:r>
        <w:t>CORPORATE GUARANTOR</w:t>
      </w:r>
    </w:p>
    <w:p>
      <w:r>
        <w:t>No additional guarantor details supplied at generation time.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12343.0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12343.0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1"/>
      </w:pPr>
      <w:r>
        <w:t>VISIT REPORT BY CREDIT ANALYST</w:t>
      </w:r>
    </w:p>
    <w:p>
      <w:r>
        <w:t>Field observations were not available. Risk narrative derived from extracted data and model outputs.</w:t>
      </w:r>
    </w:p>
    <w:p>
      <w:r>
        <w:t>CONDITIONS FOR APPROVAL</w:t>
      </w:r>
    </w:p>
    <w:p>
      <w:r>
        <w:t>1. Enhanced Due Diligence Required: Submit Big-4 audited financials for last 3 years. Resolve GST ITC mismatch of ₹0.3 Lakhs before disbursement.</w:t>
      </w:r>
    </w:p>
    <w:p>
      <w:r>
        <w:t>2. Additional Collateral Required: Collateral coverage ratio minimum 1.5x of loan amount. Current gap estimated at ₹0.1 Lakhs based on PD of 98.0%.</w:t>
      </w:r>
    </w:p>
    <w:p>
      <w:r>
        <w:t>3. Document Resubmission: Current OCR confidence score is 12.0%. CA-certified financial statements with seal required within 15 days of sanction.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