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Liberation Sans" w:hAnsi="Liberation Sans"/>
          <w:b/>
          <w:color w:val="17365D"/>
          <w:sz w:val="40"/>
        </w:rPr>
        <w:t>Business Interpretation Summary</w:t>
      </w:r>
    </w:p>
    <w:p>
      <w:pPr>
        <w:spacing w:after="100"/>
        <w:jc w:val="center"/>
      </w:pPr>
      <w:r>
        <w:rPr>
          <w:rFonts w:ascii="Liberation Sans" w:hAnsi="Liberation Sans"/>
          <w:color w:val="505050"/>
          <w:sz w:val="21"/>
        </w:rPr>
        <w:t>Online Retail Customer Segmentation with K-Means, DBSCAN, Hierarchical Clustering and Business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4FB"/>
          <w:left w:val="single" w:sz="6" w:space="0" w:color="EAF4FB"/>
          <w:bottom w:val="single" w:sz="6" w:space="0" w:color="EAF4FB"/>
          <w:right w:val="single" w:sz="6" w:space="0" w:color="EAF4FB"/>
          <w:insideH w:val="single" w:sz="6" w:space="0" w:color="EAF4FB"/>
          <w:insideV w:val="single" w:sz="6" w:space="0" w:color="EAF4FB"/>
        </w:tblBorders>
      </w:tblPr>
      <w:tblGrid>
        <w:gridCol w:w="10224"/>
      </w:tblGrid>
      <w:tr>
        <w:tc>
          <w:tcPr>
            <w:tcW w:type="dxa" w:w="10224"/>
            <w:shd w:fill="EAF4FB"/>
          </w:tcPr>
          <w:p>
            <w:pPr>
              <w:spacing w:after="40"/>
              <w:ind w:left="120" w:right="120"/>
            </w:pPr>
            <w:r>
              <w:rPr>
                <w:rFonts w:ascii="Liberation Sans" w:hAnsi="Liberation Sans"/>
                <w:b/>
                <w:color w:val="1F77B4"/>
                <w:sz w:val="19"/>
              </w:rPr>
              <w:t xml:space="preserve">Scope: </w:t>
            </w:r>
            <w:r>
              <w:rPr>
                <w:rFonts w:ascii="Liberation Sans" w:hAnsi="Liberation Sans"/>
                <w:sz w:val="19"/>
              </w:rPr>
              <w:t>Covers all five Learning Day 8 notebooks and the official MVD checklist for clustering with K-Means, DBSCAN, Ward hierarchical clustering and Gap Statistic.</w:t>
            </w:r>
          </w:p>
        </w:tc>
      </w:tr>
    </w:tbl>
    <w:p>
      <w:pPr>
        <w:spacing w:after="100"/>
      </w:pPr>
    </w:p>
    <w:p>
      <w:pPr>
        <w:pStyle w:val="Heading1"/>
      </w:pPr>
      <w:r>
        <w:t>1. Executive business view</w:t>
      </w:r>
    </w:p>
    <w:p>
      <w:pPr>
        <w:spacing w:after="100"/>
      </w:pPr>
      <w:r>
        <w:t>This project turns Online Retail transaction data into customer segments that business teams can actually use. The final recommendation is to use K-Means k=5 as the main segmentation baseline, DBSCAN as an unusual-customer detection layer, and constraint-based rules to convert clusters into more actionable business groups.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7EF"/>
          <w:left w:val="single" w:sz="6" w:space="0" w:color="EAF7EF"/>
          <w:bottom w:val="single" w:sz="6" w:space="0" w:color="EAF7EF"/>
          <w:right w:val="single" w:sz="6" w:space="0" w:color="EAF7EF"/>
          <w:insideH w:val="single" w:sz="6" w:space="0" w:color="EAF7EF"/>
          <w:insideV w:val="single" w:sz="6" w:space="0" w:color="EAF7EF"/>
        </w:tblBorders>
      </w:tblPr>
      <w:tblGrid>
        <w:gridCol w:w="10224"/>
      </w:tblGrid>
      <w:tr>
        <w:tc>
          <w:tcPr>
            <w:tcW w:type="dxa" w:w="10224"/>
            <w:shd w:fill="EAF7EF"/>
          </w:tcPr>
          <w:p>
            <w:pPr>
              <w:spacing w:after="40"/>
              <w:ind w:left="120" w:right="120"/>
            </w:pPr>
            <w:r>
              <w:rPr>
                <w:rFonts w:ascii="Liberation Sans" w:hAnsi="Liberation Sans"/>
                <w:b/>
                <w:color w:val="2E7D32"/>
                <w:sz w:val="19"/>
              </w:rPr>
              <w:t xml:space="preserve">Final recommendation: </w:t>
            </w:r>
            <w:r>
              <w:rPr>
                <w:rFonts w:ascii="Liberation Sans" w:hAnsi="Liberation Sans"/>
                <w:sz w:val="19"/>
              </w:rPr>
              <w:t>Use K-Means k=5 for the main segmentation, DBSCAN for unusual customers, and business-rule labels for VIP and reactivation logic.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Business meaning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Customers analysed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4,312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Customer-level RFM table after cleaning and feature engineering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PCA visual coverage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88.96%</w:t>
            </w:r>
          </w:p>
        </w:tc>
        <w:tc>
          <w:tcPr>
            <w:tcW w:type="dxa" w:w="51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PC1 + PC2 explain most scaled RFM structure for visual maps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baseline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k=5, Silhouette 0.6140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clean segmentation baseline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Strong outliers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311 customers</w:t>
            </w:r>
          </w:p>
        </w:tc>
        <w:tc>
          <w:tcPr>
            <w:tcW w:type="dxa" w:w="51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Outliers identified using multiple rules / detectors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 practical result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eps=0.5, min_samples=5, 3 clusters, 63 noise customers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Useful density and unusual-customer layer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OPTICS result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12 clusters, 1,826 noise customers, Silhouette 0.1888</w:t>
            </w:r>
          </w:p>
        </w:tc>
        <w:tc>
          <w:tcPr>
            <w:tcW w:type="dxa" w:w="51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Exploration only; too strict for final segmentation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Hierarchical result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Ward k=3, Silhouette 0.5752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Dendrogram-supported practical cluster view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MVD coverage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14/14 tasks covered</w:t>
            </w:r>
          </w:p>
        </w:tc>
        <w:tc>
          <w:tcPr>
            <w:tcW w:type="dxa" w:w="51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Beginner, Intermediate and Expert requirements completed</w:t>
            </w:r>
          </w:p>
        </w:tc>
      </w:tr>
    </w:tbl>
    <w:p>
      <w:pPr>
        <w:spacing w:after="100"/>
      </w:pPr>
    </w:p>
    <w:p>
      <w:pPr>
        <w:pStyle w:val="Heading1"/>
      </w:pPr>
      <w:r>
        <w:t>2. Customer segmentation story</w:t>
      </w:r>
    </w:p>
    <w:p>
      <w:pPr>
        <w:spacing w:after="100"/>
      </w:pPr>
      <w:r>
        <w:t>The customer base contains a large normal group, inactive low-frequency buyers, and very small but highly valuable outlier/VIP-style groups. This is why one model alone is not enough. K-Means creates the broad segmentation; outlier detection and DBSCAN keep unusual customers visible instead of forcing them into normal groups.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K-Means cluster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Customers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Avg Recency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Avg Frequency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Avg Monetary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Revenue Share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Business reading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208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16.77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21.76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12,210.23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28.87%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Very valuable active/outlier-heavy customers</w:t>
            </w:r>
          </w:p>
        </w:tc>
      </w:tr>
      <w:tr>
        <w:tc>
          <w:tcPr>
            <w:tcW w:type="dxa" w:w="115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15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3,053</w:t>
            </w:r>
          </w:p>
        </w:tc>
        <w:tc>
          <w:tcPr>
            <w:tcW w:type="dxa" w:w="129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44.70</w:t>
            </w:r>
          </w:p>
        </w:tc>
        <w:tc>
          <w:tcPr>
            <w:tcW w:type="dxa" w:w="129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3.77</w:t>
            </w:r>
          </w:p>
        </w:tc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1,370.06</w:t>
            </w:r>
          </w:p>
        </w:tc>
        <w:tc>
          <w:tcPr>
            <w:tcW w:type="dxa" w:w="129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47.54%</w:t>
            </w:r>
          </w:p>
        </w:tc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customer base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3.70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118.10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66,250.55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7.53%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Tiny high-frequency high-value group</w:t>
            </w:r>
          </w:p>
        </w:tc>
      </w:tr>
      <w:tr>
        <w:tc>
          <w:tcPr>
            <w:tcW w:type="dxa" w:w="115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6.00</w:t>
            </w:r>
          </w:p>
        </w:tc>
        <w:tc>
          <w:tcPr>
            <w:tcW w:type="dxa" w:w="129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89.67</w:t>
            </w:r>
          </w:p>
        </w:tc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264,703.53</w:t>
            </w:r>
          </w:p>
        </w:tc>
        <w:tc>
          <w:tcPr>
            <w:tcW w:type="dxa" w:w="129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9.03%</w:t>
            </w:r>
          </w:p>
        </w:tc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Extremely high-value VIP-style group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1,038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243.86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1.66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596.43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7.04%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Inactive / low-frequency customer group</w:t>
            </w:r>
          </w:p>
        </w:tc>
      </w:tr>
    </w:tbl>
    <w:p>
      <w:pPr>
        <w:spacing w:after="10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i/>
          <w:color w:val="5A5A5A"/>
          <w:sz w:val="17"/>
        </w:rPr>
        <w:t>K-Means k=5 cluster profile: customer count and average monetary value.</w:t>
      </w:r>
    </w:p>
    <w:p>
      <w:pPr>
        <w:pStyle w:val="Heading1"/>
      </w:pPr>
      <w:r>
        <w:t>3. Recommended customer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Business group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Where found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Recommended action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customer base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cluster 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3,053 customers; stable revenue share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Standard retention, cross-sell and product recommendation campaigns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Inactive/low frequency group</w:t>
            </w:r>
          </w:p>
        </w:tc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cluster 4 plus constraint rules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High recency and low frequency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Win-back campaigns, reactivation offers and churn-risk monitoring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High-value active group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cluster 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Small group with high revenue share and strong outlier concentration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VIP service, account management and margin monitoring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Extreme VIP outliers</w:t>
            </w:r>
          </w:p>
        </w:tc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clusters 2 and 3 / DBSCAN noise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Very small groups with very high monetary value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Manual review, VIP treatment and fraud/wholesale check if needed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Unusual customers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 noise customers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63 customers; 1.46% of customers but high revenue share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Do not hide them inside normal clusters; review separately</w:t>
            </w:r>
          </w:p>
        </w:tc>
      </w:tr>
    </w:tbl>
    <w:p>
      <w:pPr>
        <w:spacing w:after="100"/>
      </w:pPr>
    </w:p>
    <w:p>
      <w:pPr>
        <w:pStyle w:val="Heading1"/>
      </w:pPr>
      <w:r>
        <w:t>4. Why K-Means remains the main baseline</w:t>
      </w:r>
    </w:p>
    <w:p>
      <w:pPr>
        <w:spacing w:after="100"/>
      </w:pPr>
      <w:r>
        <w:t>DBSCAN produced a slightly higher Silhouette score than K-Means in the practical density run, but it created only dense groups and noise labels. That is excellent for unusual-customer detection, but less convenient for everyday campaign segmentation. K-Means is simpler, stable and easier to explain.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Clusters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Noise customers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Silhouette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Davies-Bouldin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Calinski-Harabasz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Best use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k=5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0.6140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0.6304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4006.5535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segmentation baseline</w:t>
            </w:r>
          </w:p>
        </w:tc>
      </w:tr>
      <w:tr>
        <w:tc>
          <w:tcPr>
            <w:tcW w:type="dxa" w:w="230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</w:t>
            </w:r>
          </w:p>
        </w:tc>
        <w:tc>
          <w:tcPr>
            <w:tcW w:type="dxa" w:w="10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63</w:t>
            </w:r>
          </w:p>
        </w:tc>
        <w:tc>
          <w:tcPr>
            <w:tcW w:type="dxa" w:w="115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0.6259</w:t>
            </w:r>
          </w:p>
        </w:tc>
        <w:tc>
          <w:tcPr>
            <w:tcW w:type="dxa" w:w="129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0.3119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68.1318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Unusual customer detection layer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Hierarchical Ward k=3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0.5752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0.5914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3149.7195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Supporting hierarchy view</w:t>
            </w:r>
          </w:p>
        </w:tc>
      </w:tr>
    </w:tbl>
    <w:p>
      <w:pPr>
        <w:spacing w:after="100"/>
      </w:pPr>
    </w:p>
    <w:p>
      <w:pPr>
        <w:pStyle w:val="Heading1"/>
      </w:pPr>
      <w:r>
        <w:t>5. Business limitations and next steps</w:t>
      </w:r>
    </w:p>
    <w:p>
      <w:pPr>
        <w:pStyle w:val="ListBullet"/>
        <w:spacing w:after="40"/>
      </w:pPr>
      <w:r>
        <w:t>RFM segmentation is based on historical purchase behaviour; it does not directly include marketing channel, customer acquisition source or product margin.</w:t>
      </w:r>
    </w:p>
    <w:p>
      <w:pPr>
        <w:pStyle w:val="ListBullet"/>
        <w:spacing w:after="40"/>
      </w:pPr>
      <w:r>
        <w:t>Very high-value outliers may represent VIP customers, wholesale buyers, unusual invoices or data quality cases. They should be reviewed before business action.</w:t>
      </w:r>
    </w:p>
    <w:p>
      <w:pPr>
        <w:pStyle w:val="ListBullet"/>
        <w:spacing w:after="40"/>
      </w:pPr>
      <w:r>
        <w:t>Cluster names should be finalized with business stakeholders before being used in dashboards or campaigns.</w:t>
      </w:r>
    </w:p>
    <w:p>
      <w:pPr>
        <w:pStyle w:val="ListBullet"/>
        <w:spacing w:after="40"/>
      </w:pPr>
      <w:r>
        <w:t>A Power BI or Looker Studio dashboard can convert the final segment tables into a management-ready view.</w:t>
      </w:r>
    </w:p>
    <w:p>
      <w:pPr>
        <w:pStyle w:val="ListBullet"/>
        <w:spacing w:after="40"/>
      </w:pPr>
      <w:r>
        <w:t>Future improvement: add churn labels, campaign response, profitability, product category affinity and customer lifetime value modelling.</w:t>
      </w:r>
    </w:p>
    <w:p>
      <w:pPr>
        <w:pStyle w:val="Heading1"/>
      </w:pPr>
      <w:r>
        <w:t>6. Dashboard handoff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Dashboard area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What to show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KPI cards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Customers, revenue, average monetary value, recency risk, noise customers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Gives management a fast overview of segment health</w:t>
            </w:r>
          </w:p>
        </w:tc>
      </w:tr>
      <w:tr>
        <w:tc>
          <w:tcPr>
            <w:tcW w:type="dxa" w:w="230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Segment filter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cluster, DBSCAN noise flag, constraint segment</w:t>
            </w:r>
          </w:p>
        </w:tc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Lets users move between model and business views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 action table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CustomerID, segment, monetary value, frequency, recency, country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Supports campaign export and sales review</w:t>
            </w:r>
          </w:p>
        </w:tc>
      </w:tr>
      <w:tr>
        <w:tc>
          <w:tcPr>
            <w:tcW w:type="dxa" w:w="230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VIP / outlier review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High monetary customers and DBSCAN noise customers</w:t>
            </w:r>
          </w:p>
        </w:tc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Prevents valuable unusual customers from being hidden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Reactivation view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Inactive low-frequency customers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Creates a clear win-back target group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7EF"/>
          <w:left w:val="single" w:sz="6" w:space="0" w:color="EAF7EF"/>
          <w:bottom w:val="single" w:sz="6" w:space="0" w:color="EAF7EF"/>
          <w:right w:val="single" w:sz="6" w:space="0" w:color="EAF7EF"/>
          <w:insideH w:val="single" w:sz="6" w:space="0" w:color="EAF7EF"/>
          <w:insideV w:val="single" w:sz="6" w:space="0" w:color="EAF7EF"/>
        </w:tblBorders>
      </w:tblPr>
      <w:tblGrid>
        <w:gridCol w:w="10224"/>
      </w:tblGrid>
      <w:tr>
        <w:tc>
          <w:tcPr>
            <w:tcW w:type="dxa" w:w="10224"/>
            <w:shd w:fill="EAF7EF"/>
          </w:tcPr>
          <w:p>
            <w:pPr>
              <w:spacing w:after="40"/>
              <w:ind w:left="120" w:right="120"/>
            </w:pPr>
            <w:r>
              <w:rPr>
                <w:rFonts w:ascii="Liberation Sans" w:hAnsi="Liberation Sans"/>
                <w:b/>
                <w:color w:val="2E7D32"/>
                <w:sz w:val="19"/>
              </w:rPr>
              <w:t xml:space="preserve">Business close: </w:t>
            </w:r>
            <w:r>
              <w:rPr>
                <w:rFonts w:ascii="Liberation Sans" w:hAnsi="Liberation Sans"/>
                <w:sz w:val="19"/>
              </w:rPr>
              <w:t>The project is ready to support a management dashboard, campaign segmentation file, or final course submission package.</w:t>
            </w:r>
          </w:p>
        </w:tc>
      </w:tr>
    </w:tbl>
    <w:p>
      <w:pPr>
        <w:spacing w:after="1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Prepared project documentation | Online Retail clustering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Learning Day 8 — Clustering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