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Liberation Sans" w:hAnsi="Liberation Sans"/>
          <w:b/>
          <w:color w:val="17365D"/>
          <w:sz w:val="40"/>
        </w:rPr>
        <w:t>Final Project Summary Document</w:t>
      </w:r>
    </w:p>
    <w:p>
      <w:pPr>
        <w:spacing w:after="100"/>
        <w:jc w:val="center"/>
      </w:pPr>
      <w:r>
        <w:rPr>
          <w:rFonts w:ascii="Liberation Sans" w:hAnsi="Liberation Sans"/>
          <w:color w:val="505050"/>
          <w:sz w:val="21"/>
        </w:rPr>
        <w:t>Online Retail Customer Segmentation with K-Means, DBSCAN, Hierarchical Clustering and Business Rules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AF4FB"/>
          <w:left w:val="single" w:sz="6" w:space="0" w:color="EAF4FB"/>
          <w:bottom w:val="single" w:sz="6" w:space="0" w:color="EAF4FB"/>
          <w:right w:val="single" w:sz="6" w:space="0" w:color="EAF4FB"/>
          <w:insideH w:val="single" w:sz="6" w:space="0" w:color="EAF4FB"/>
          <w:insideV w:val="single" w:sz="6" w:space="0" w:color="EAF4FB"/>
        </w:tblBorders>
      </w:tblPr>
      <w:tblGrid>
        <w:gridCol w:w="10224"/>
      </w:tblGrid>
      <w:tr>
        <w:tc>
          <w:tcPr>
            <w:tcW w:type="dxa" w:w="10224"/>
            <w:shd w:fill="EAF4FB"/>
          </w:tcPr>
          <w:p>
            <w:pPr>
              <w:spacing w:after="40"/>
              <w:ind w:left="120" w:right="120"/>
            </w:pPr>
            <w:r>
              <w:rPr>
                <w:rFonts w:ascii="Liberation Sans" w:hAnsi="Liberation Sans"/>
                <w:b/>
                <w:color w:val="1F77B4"/>
                <w:sz w:val="19"/>
              </w:rPr>
              <w:t xml:space="preserve">Scope: </w:t>
            </w:r>
            <w:r>
              <w:rPr>
                <w:rFonts w:ascii="Liberation Sans" w:hAnsi="Liberation Sans"/>
                <w:sz w:val="19"/>
              </w:rPr>
              <w:t>Covers all five Learning Day 8 notebooks and the official MVD checklist for clustering with K-Means, DBSCAN, Ward hierarchical clustering and Gap Statistic.</w:t>
            </w:r>
          </w:p>
        </w:tc>
      </w:tr>
    </w:tbl>
    <w:p>
      <w:pPr>
        <w:spacing w:after="100"/>
      </w:pPr>
    </w:p>
    <w:p>
      <w:pPr>
        <w:pStyle w:val="Heading1"/>
      </w:pPr>
      <w:r>
        <w:t>1. Project objective</w:t>
      </w:r>
    </w:p>
    <w:p>
      <w:pPr>
        <w:spacing w:after="100"/>
      </w:pPr>
      <w:r>
        <w:t>The objective was to complete Learning Day 8 clustering end to end using a business-relevant Online Retail customer segmentation project. The work covers the official MVD requirements and extends them with professional clustering methods, outlier checks, density explanations and business-rule segments.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Notebook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Main work completed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Main output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1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Project setup, source audit, Online Retail cleaning, RFM creation and scaling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RFM customer table and scaled RFM features</w:t>
            </w:r>
          </w:p>
        </w:tc>
      </w:tr>
      <w:tr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2</w:t>
            </w:r>
          </w:p>
        </w:tc>
        <w:tc>
          <w:tcPr>
            <w:tcW w:type="dxa" w:w="50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Partitioning methods: K-Means, MiniBatchKMeans, K-Modes, medoid-style fallback and K-Prototypes</w:t>
            </w:r>
          </w:p>
        </w:tc>
        <w:tc>
          <w:tcPr>
            <w:tcW w:type="dxa" w:w="374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Main baseline: K-Means k=5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3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Density, grid, subspace and constraint-based methods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DBSCAN unusual-customer layer and business-rule segments</w:t>
            </w:r>
          </w:p>
        </w:tc>
      </w:tr>
      <w:tr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4</w:t>
            </w:r>
          </w:p>
        </w:tc>
        <w:tc>
          <w:tcPr>
            <w:tcW w:type="dxa" w:w="50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Ward hierarchical clustering, dendrogram and Gap Statistic</w:t>
            </w:r>
          </w:p>
        </w:tc>
        <w:tc>
          <w:tcPr>
            <w:tcW w:type="dxa" w:w="374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Practical hierarchical choice: k=3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5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MVD assignment proof checklist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14/14 required MVD tasks covered</w:t>
            </w:r>
          </w:p>
        </w:tc>
      </w:tr>
    </w:tbl>
    <w:p>
      <w:pPr>
        <w:spacing w:after="100"/>
      </w:pPr>
    </w:p>
    <w:p>
      <w:pPr>
        <w:pStyle w:val="Heading1"/>
      </w:pPr>
      <w:r>
        <w:t>2. Data and feature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Implementation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Raw dataset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Online Retail / online_retail_II.xlsx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525,461 transaction rows and 8 raw columns</w:t>
            </w:r>
          </w:p>
        </w:tc>
      </w:tr>
      <w:tr>
        <w:tc>
          <w:tcPr>
            <w:tcW w:type="dxa" w:w="201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Cleaning focus</w:t>
            </w:r>
          </w:p>
        </w:tc>
        <w:tc>
          <w:tcPr>
            <w:tcW w:type="dxa" w:w="345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CustomerID, invoice status, quantity, unit price, duplicates</w:t>
            </w:r>
          </w:p>
        </w:tc>
        <w:tc>
          <w:tcPr>
            <w:tcW w:type="dxa" w:w="460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Removed non-customer and invalid transaction rows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Feature engineering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RFM per CustomerID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Recency, Frequency and Monetary customer-level features</w:t>
            </w:r>
          </w:p>
        </w:tc>
      </w:tr>
      <w:tr>
        <w:tc>
          <w:tcPr>
            <w:tcW w:type="dxa" w:w="201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Scaling</w:t>
            </w:r>
          </w:p>
        </w:tc>
        <w:tc>
          <w:tcPr>
            <w:tcW w:type="dxa" w:w="345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StandardScaler</w:t>
            </w:r>
          </w:p>
        </w:tc>
        <w:tc>
          <w:tcPr>
            <w:tcW w:type="dxa" w:w="460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Created scaled RFM for distance-based clustering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Visualisation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PCA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PC1 + PC2 explain 88.96% of scaled RFM structure</w:t>
            </w:r>
          </w:p>
        </w:tc>
      </w:tr>
    </w:tbl>
    <w:p>
      <w:pPr>
        <w:spacing w:after="100"/>
      </w:pPr>
    </w:p>
    <w:p>
      <w:pPr>
        <w:pStyle w:val="Heading1"/>
      </w:pPr>
      <w:r>
        <w:t>3. Methods implemented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Notebook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K-Means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2 and 5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Main partitioning baseline; tested k=3,5,7 and elbow k=1-10</w:t>
            </w:r>
          </w:p>
        </w:tc>
      </w:tr>
      <w:tr>
        <w:tc>
          <w:tcPr>
            <w:tcW w:type="dxa" w:w="201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MiniBatchKMeans</w:t>
            </w:r>
          </w:p>
        </w:tc>
        <w:tc>
          <w:tcPr>
            <w:tcW w:type="dxa" w:w="187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2</w:t>
            </w:r>
          </w:p>
        </w:tc>
        <w:tc>
          <w:tcPr>
            <w:tcW w:type="dxa" w:w="619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Fast partitioning comparison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K-Modes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2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Categorical customer behaviour clustering</w:t>
            </w:r>
          </w:p>
        </w:tc>
      </w:tr>
      <w:tr>
        <w:tc>
          <w:tcPr>
            <w:tcW w:type="dxa" w:w="201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Medoid-style fallback</w:t>
            </w:r>
          </w:p>
        </w:tc>
        <w:tc>
          <w:tcPr>
            <w:tcW w:type="dxa" w:w="187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2</w:t>
            </w:r>
          </w:p>
        </w:tc>
        <w:tc>
          <w:tcPr>
            <w:tcW w:type="dxa" w:w="619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Robust representative-point style comparison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K-Prototypes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2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Mixed numerical + categorical clustering</w:t>
            </w:r>
          </w:p>
        </w:tc>
      </w:tr>
      <w:tr>
        <w:tc>
          <w:tcPr>
            <w:tcW w:type="dxa" w:w="201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Outlier detection</w:t>
            </w:r>
          </w:p>
        </w:tc>
        <w:tc>
          <w:tcPr>
            <w:tcW w:type="dxa" w:w="187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2</w:t>
            </w:r>
          </w:p>
        </w:tc>
        <w:tc>
          <w:tcPr>
            <w:tcW w:type="dxa" w:w="619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Top 1%, IQR, Isolation Forest, LOF and strong outlier flags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DBSCAN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3 and 5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Density clusters and noise customers</w:t>
            </w:r>
          </w:p>
        </w:tc>
      </w:tr>
      <w:tr>
        <w:tc>
          <w:tcPr>
            <w:tcW w:type="dxa" w:w="201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OPTICS</w:t>
            </w:r>
          </w:p>
        </w:tc>
        <w:tc>
          <w:tcPr>
            <w:tcW w:type="dxa" w:w="187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3</w:t>
            </w:r>
          </w:p>
        </w:tc>
        <w:tc>
          <w:tcPr>
            <w:tcW w:type="dxa" w:w="619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Variable-density exploration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DENCLUE-style KDE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3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Density scoring layer</w:t>
            </w:r>
          </w:p>
        </w:tc>
      </w:tr>
      <w:tr>
        <w:tc>
          <w:tcPr>
            <w:tcW w:type="dxa" w:w="201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Grid/STING/Wave/CLIQUE</w:t>
            </w:r>
          </w:p>
        </w:tc>
        <w:tc>
          <w:tcPr>
            <w:tcW w:type="dxa" w:w="187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3</w:t>
            </w:r>
          </w:p>
        </w:tc>
        <w:tc>
          <w:tcPr>
            <w:tcW w:type="dxa" w:w="619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Density and subspace explanation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Constraint-based rules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3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Business-friendly VIP and reactivation segments</w:t>
            </w:r>
          </w:p>
        </w:tc>
      </w:tr>
      <w:tr>
        <w:tc>
          <w:tcPr>
            <w:tcW w:type="dxa" w:w="201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Ward hierarchical clustering</w:t>
            </w:r>
          </w:p>
        </w:tc>
        <w:tc>
          <w:tcPr>
            <w:tcW w:type="dxa" w:w="187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4 and 5</w:t>
            </w:r>
          </w:p>
        </w:tc>
        <w:tc>
          <w:tcPr>
            <w:tcW w:type="dxa" w:w="619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Dendrogram, Gap Statistic and final comparison</w:t>
            </w:r>
          </w:p>
        </w:tc>
      </w:tr>
    </w:tbl>
    <w:p>
      <w:pPr>
        <w:spacing w:after="100"/>
      </w:pPr>
    </w:p>
    <w:p>
      <w:pPr>
        <w:pStyle w:val="Heading1"/>
      </w:pPr>
      <w:r>
        <w:t>4. Main numerical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7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k</w:t>
            </w:r>
          </w:p>
        </w:tc>
        <w:tc>
          <w:tcPr>
            <w:tcW w:type="dxa" w:w="10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Clusters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Inertia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Silhouette</w:t>
            </w:r>
          </w:p>
        </w:tc>
        <w:tc>
          <w:tcPr>
            <w:tcW w:type="dxa" w:w="15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Davies-Bouldin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Calinski-Harabasz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5160.2917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0.5891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0.5988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3246.4900</w:t>
            </w:r>
          </w:p>
        </w:tc>
      </w:tr>
      <w:tr>
        <w:tc>
          <w:tcPr>
            <w:tcW w:type="dxa" w:w="7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5</w:t>
            </w:r>
          </w:p>
        </w:tc>
        <w:tc>
          <w:tcPr>
            <w:tcW w:type="dxa" w:w="100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5</w:t>
            </w:r>
          </w:p>
        </w:tc>
        <w:tc>
          <w:tcPr>
            <w:tcW w:type="dxa" w:w="172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2740.1154</w:t>
            </w:r>
          </w:p>
        </w:tc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0.6140</w:t>
            </w:r>
          </w:p>
        </w:tc>
        <w:tc>
          <w:tcPr>
            <w:tcW w:type="dxa" w:w="158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0.6304</w:t>
            </w:r>
          </w:p>
        </w:tc>
        <w:tc>
          <w:tcPr>
            <w:tcW w:type="dxa" w:w="201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4006.5535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1820.1071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0.4948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0.6795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4381.9813</w:t>
            </w:r>
          </w:p>
        </w:tc>
      </w:tr>
    </w:tbl>
    <w:p>
      <w:pPr>
        <w:spacing w:after="100"/>
      </w:pPr>
    </w:p>
    <w:p>
      <w:pPr>
        <w:spacing w:after="100"/>
      </w:pPr>
      <w:r>
        <w:t>K-Means k=5 was selected as the main baseline because it had the strongest Silhouette score among the tested K-Means values and created a more usable business segmentation than k=3 or k=7.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0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Clusters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Noise customers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Silhouette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Davies-Bouldin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Calinski-Harabasz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Best use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K-Means k=5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0.6140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0.6304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4006.5535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Main segmentation baseline</w:t>
            </w:r>
          </w:p>
        </w:tc>
      </w:tr>
      <w:tr>
        <w:tc>
          <w:tcPr>
            <w:tcW w:type="dxa" w:w="230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DBSCAN</w:t>
            </w:r>
          </w:p>
        </w:tc>
        <w:tc>
          <w:tcPr>
            <w:tcW w:type="dxa" w:w="100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63</w:t>
            </w:r>
          </w:p>
        </w:tc>
        <w:tc>
          <w:tcPr>
            <w:tcW w:type="dxa" w:w="115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0.6259</w:t>
            </w:r>
          </w:p>
        </w:tc>
        <w:tc>
          <w:tcPr>
            <w:tcW w:type="dxa" w:w="129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0.3119</w:t>
            </w:r>
          </w:p>
        </w:tc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68.1318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Unusual customer detection layer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Hierarchical Ward k=3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0.5752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0.5914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3149.7195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Supporting hierarchy view</w:t>
            </w:r>
          </w:p>
        </w:tc>
      </w:tr>
    </w:tbl>
    <w:p>
      <w:pPr>
        <w:spacing w:after="10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08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6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8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i/>
          <w:color w:val="5A5A5A"/>
          <w:sz w:val="17"/>
        </w:rPr>
        <w:t>Ward linkage dendrogram supporting a practical hierarchical choice of k=3.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01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6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i/>
          <w:color w:val="5A5A5A"/>
          <w:sz w:val="17"/>
        </w:rPr>
        <w:t>Gap Statistic curve for k=1 to 8; dendrogram and business readability support practical k=3.</w:t>
      </w:r>
    </w:p>
    <w:p>
      <w:pPr>
        <w:pStyle w:val="Heading1"/>
      </w:pPr>
      <w:r>
        <w:t>5. MVD completion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67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Requirement area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Beginner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K-Means scatter, k=3/5/7, elbow k=1-10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Covered</w:t>
            </w:r>
          </w:p>
        </w:tc>
      </w:tr>
      <w:tr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Intermediate</w:t>
            </w:r>
          </w:p>
        </w:tc>
        <w:tc>
          <w:tcPr>
            <w:tcW w:type="dxa" w:w="676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Online Retail RFM, StandardScaler, DBSCAN eps/min_samples grid, Silhouette comparison</w:t>
            </w:r>
          </w:p>
        </w:tc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Covered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Expert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Ward dendrogram, Gap Statistic B=10 for k=1-8, final metrics table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Covered</w:t>
            </w:r>
          </w:p>
        </w:tc>
      </w:tr>
      <w:tr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Overall</w:t>
            </w:r>
          </w:p>
        </w:tc>
        <w:tc>
          <w:tcPr>
            <w:tcW w:type="dxa" w:w="676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Official MVD checklist</w:t>
            </w:r>
          </w:p>
        </w:tc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14/14 tasks covered</w:t>
            </w:r>
          </w:p>
        </w:tc>
      </w:tr>
    </w:tbl>
    <w:p>
      <w:pPr>
        <w:spacing w:after="100"/>
      </w:pPr>
    </w:p>
    <w:p>
      <w:pPr>
        <w:pStyle w:val="Heading1"/>
      </w:pPr>
      <w:r>
        <w:t>6. Final recommendation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AF7EF"/>
          <w:left w:val="single" w:sz="6" w:space="0" w:color="EAF7EF"/>
          <w:bottom w:val="single" w:sz="6" w:space="0" w:color="EAF7EF"/>
          <w:right w:val="single" w:sz="6" w:space="0" w:color="EAF7EF"/>
          <w:insideH w:val="single" w:sz="6" w:space="0" w:color="EAF7EF"/>
          <w:insideV w:val="single" w:sz="6" w:space="0" w:color="EAF7EF"/>
        </w:tblBorders>
      </w:tblPr>
      <w:tblGrid>
        <w:gridCol w:w="10224"/>
      </w:tblGrid>
      <w:tr>
        <w:tc>
          <w:tcPr>
            <w:tcW w:type="dxa" w:w="10224"/>
            <w:shd w:fill="EAF7EF"/>
          </w:tcPr>
          <w:p>
            <w:pPr>
              <w:spacing w:after="40"/>
              <w:ind w:left="120" w:right="120"/>
            </w:pPr>
            <w:r>
              <w:rPr>
                <w:rFonts w:ascii="Liberation Sans" w:hAnsi="Liberation Sans"/>
                <w:b/>
                <w:color w:val="2E7D32"/>
                <w:sz w:val="19"/>
              </w:rPr>
              <w:t xml:space="preserve">Final recommendation: </w:t>
            </w:r>
            <w:r>
              <w:rPr>
                <w:rFonts w:ascii="Liberation Sans" w:hAnsi="Liberation Sans"/>
                <w:sz w:val="19"/>
              </w:rPr>
              <w:t>Use K-Means k=5 as the main segmentation baseline. Add DBSCAN as a second layer for unusual customers. Use hierarchical clustering, Gap Statistic and density/grid methods as supporting explanation and validation.</w:t>
            </w:r>
          </w:p>
        </w:tc>
      </w:tr>
    </w:tbl>
    <w:p>
      <w:pPr>
        <w:spacing w:after="100"/>
      </w:pPr>
    </w:p>
    <w:p>
      <w:pPr>
        <w:pStyle w:val="Heading1"/>
      </w:pPr>
      <w:r>
        <w:t>7. Submission file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15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Submission use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1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Data preparation and RFM setup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Keep as evidence for dataset and preprocessing</w:t>
            </w:r>
          </w:p>
        </w:tc>
      </w:tr>
      <w:tr>
        <w:tc>
          <w:tcPr>
            <w:tcW w:type="dxa" w:w="158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2</w:t>
            </w:r>
          </w:p>
        </w:tc>
        <w:tc>
          <w:tcPr>
            <w:tcW w:type="dxa" w:w="360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Partitioning methods</w:t>
            </w:r>
          </w:p>
        </w:tc>
        <w:tc>
          <w:tcPr>
            <w:tcW w:type="dxa" w:w="460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Keep as evidence for K-Means, elbow and partitioning comparison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3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Density and constraints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Keep as evidence for DBSCAN, OPTICS, grid, wave, CLIQUE and business rules</w:t>
            </w:r>
          </w:p>
        </w:tc>
      </w:tr>
      <w:tr>
        <w:tc>
          <w:tcPr>
            <w:tcW w:type="dxa" w:w="158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4</w:t>
            </w:r>
          </w:p>
        </w:tc>
        <w:tc>
          <w:tcPr>
            <w:tcW w:type="dxa" w:w="360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Hierarchical and Gap Statistic</w:t>
            </w:r>
          </w:p>
        </w:tc>
        <w:tc>
          <w:tcPr>
            <w:tcW w:type="dxa" w:w="460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Keep as evidence for expert task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Notebook 5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MVD proof checklist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Use as the final assignment proof notebook</w:t>
            </w:r>
          </w:p>
        </w:tc>
      </w:tr>
    </w:tbl>
    <w:p>
      <w:pPr>
        <w:spacing w:after="100"/>
      </w:pPr>
    </w:p>
    <w:p>
      <w:pPr>
        <w:pStyle w:val="Heading1"/>
      </w:pPr>
      <w:r>
        <w:t>8. Interview-ready explanation</w:t>
      </w:r>
    </w:p>
    <w:p>
      <w:pPr>
        <w:spacing w:after="100"/>
      </w:pPr>
      <w:r>
        <w:t>I built an end-to-end unsupervised learning project on Online Retail data. I converted transaction records into customer-level RFM features, compared partitioning, density-based and hierarchical clustering methods, and selected K-Means k=5 as the main segmentation baseline. I added DBSCAN for unusual customer detection and business-rule labels to make the result actionable for VIP handling and reactivation campaigns.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Prepared project documentation | Online Retail clustering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Learning Day 8 — Clustering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