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Liberation Sans" w:hAnsi="Liberation Sans"/>
          <w:b/>
          <w:color w:val="17365D"/>
          <w:sz w:val="40"/>
        </w:rPr>
        <w:t>Master Theory Document A to Z</w:t>
      </w:r>
    </w:p>
    <w:p>
      <w:pPr>
        <w:spacing w:after="100"/>
        <w:jc w:val="center"/>
      </w:pPr>
      <w:r>
        <w:rPr>
          <w:rFonts w:ascii="Liberation Sans" w:hAnsi="Liberation Sans"/>
          <w:color w:val="505050"/>
          <w:sz w:val="21"/>
        </w:rPr>
        <w:t>Online Retail Customer Segmentation with K-Means, DBSCAN, Hierarchical Clustering and Business Rules</w:t>
      </w:r>
    </w:p>
    <w:tbl>
      <w:tblPr>
        <w:tblW w:type="auto" w:w="0"/>
        <w:jc w:val="center"/>
        <w:tblLook w:firstColumn="1" w:firstRow="1" w:lastColumn="0" w:lastRow="0" w:noHBand="0" w:noVBand="1" w:val="04A0"/>
        <w:tblBorders>
          <w:top w:val="single" w:sz="6" w:space="0" w:color="EAF4FB"/>
          <w:left w:val="single" w:sz="6" w:space="0" w:color="EAF4FB"/>
          <w:bottom w:val="single" w:sz="6" w:space="0" w:color="EAF4FB"/>
          <w:right w:val="single" w:sz="6" w:space="0" w:color="EAF4FB"/>
          <w:insideH w:val="single" w:sz="6" w:space="0" w:color="EAF4FB"/>
          <w:insideV w:val="single" w:sz="6" w:space="0" w:color="EAF4FB"/>
        </w:tblBorders>
      </w:tblPr>
      <w:tblGrid>
        <w:gridCol w:w="10224"/>
      </w:tblGrid>
      <w:tr>
        <w:tc>
          <w:tcPr>
            <w:tcW w:type="dxa" w:w="10224"/>
            <w:shd w:fill="EAF4FB"/>
          </w:tcPr>
          <w:p>
            <w:pPr>
              <w:spacing w:after="40"/>
              <w:ind w:left="120" w:right="120"/>
            </w:pPr>
            <w:r>
              <w:rPr>
                <w:rFonts w:ascii="Liberation Sans" w:hAnsi="Liberation Sans"/>
                <w:b/>
                <w:color w:val="1F77B4"/>
                <w:sz w:val="19"/>
              </w:rPr>
              <w:t xml:space="preserve">Scope: </w:t>
            </w:r>
            <w:r>
              <w:rPr>
                <w:rFonts w:ascii="Liberation Sans" w:hAnsi="Liberation Sans"/>
                <w:sz w:val="19"/>
              </w:rPr>
              <w:t>Covers all five Learning Day 8 notebooks and the official MVD checklist for clustering with K-Means, DBSCAN, Ward hierarchical clustering and Gap Statistic.</w:t>
            </w:r>
          </w:p>
        </w:tc>
      </w:tr>
    </w:tbl>
    <w:p>
      <w:pPr>
        <w:spacing w:after="100"/>
      </w:pPr>
    </w:p>
    <w:p>
      <w:pPr>
        <w:pStyle w:val="Heading1"/>
      </w:pPr>
      <w:r>
        <w:t>1. Clustering foundation</w:t>
      </w:r>
    </w:p>
    <w:p>
      <w:pPr>
        <w:spacing w:after="100"/>
      </w:pPr>
      <w:r>
        <w:t>Clustering is unsupervised learning. The model does not receive a target label. It tries to find natural groups based on customer behaviour. In this project, each customer is represented by RFM behaviour: Recency, Frequency and Monetary value.</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2016"/>
            <w:shd w:fill="1F4E79"/>
            <w:vAlign w:val="center"/>
          </w:tcPr>
          <w:p>
            <w:pPr>
              <w:spacing w:after="0"/>
            </w:pPr>
            <w:r/>
            <w:r>
              <w:rPr>
                <w:rFonts w:ascii="Liberation Sans" w:hAnsi="Liberation Sans"/>
                <w:b/>
                <w:color w:val="FFFFFF"/>
                <w:sz w:val="17"/>
              </w:rPr>
              <w:t>Concept</w:t>
            </w:r>
          </w:p>
        </w:tc>
        <w:tc>
          <w:tcPr>
            <w:tcW w:type="dxa" w:w="4032"/>
            <w:shd w:fill="1F4E79"/>
            <w:vAlign w:val="center"/>
          </w:tcPr>
          <w:p>
            <w:pPr>
              <w:spacing w:after="0"/>
            </w:pPr>
            <w:r/>
            <w:r>
              <w:rPr>
                <w:rFonts w:ascii="Liberation Sans" w:hAnsi="Liberation Sans"/>
                <w:b/>
                <w:color w:val="FFFFFF"/>
                <w:sz w:val="17"/>
              </w:rPr>
              <w:t>Simple meaning</w:t>
            </w:r>
          </w:p>
        </w:tc>
        <w:tc>
          <w:tcPr>
            <w:tcW w:type="dxa" w:w="4032"/>
            <w:shd w:fill="1F4E79"/>
            <w:vAlign w:val="center"/>
          </w:tcPr>
          <w:p>
            <w:pPr>
              <w:spacing w:after="0"/>
            </w:pPr>
            <w:r/>
            <w:r>
              <w:rPr>
                <w:rFonts w:ascii="Liberation Sans" w:hAnsi="Liberation Sans"/>
                <w:b/>
                <w:color w:val="FFFFFF"/>
                <w:sz w:val="17"/>
              </w:rPr>
              <w:t>Project use</w:t>
            </w:r>
          </w:p>
        </w:tc>
      </w:tr>
      <w:tr>
        <w:tc>
          <w:tcPr>
            <w:tcW w:type="dxa" w:w="2016"/>
            <w:vAlign w:val="top"/>
          </w:tcPr>
          <w:p>
            <w:pPr>
              <w:spacing w:after="0"/>
            </w:pPr>
            <w:r/>
            <w:r>
              <w:rPr>
                <w:rFonts w:ascii="Liberation Sans" w:hAnsi="Liberation Sans"/>
                <w:b w:val="0"/>
                <w:sz w:val="17"/>
              </w:rPr>
              <w:t>Unsupervised learning</w:t>
            </w:r>
          </w:p>
        </w:tc>
        <w:tc>
          <w:tcPr>
            <w:tcW w:type="dxa" w:w="4032"/>
            <w:vAlign w:val="top"/>
          </w:tcPr>
          <w:p>
            <w:pPr>
              <w:spacing w:after="0"/>
            </w:pPr>
            <w:r/>
            <w:r>
              <w:rPr>
                <w:rFonts w:ascii="Liberation Sans" w:hAnsi="Liberation Sans"/>
                <w:b w:val="0"/>
                <w:sz w:val="17"/>
              </w:rPr>
              <w:t>Learning patterns without target labels</w:t>
            </w:r>
          </w:p>
        </w:tc>
        <w:tc>
          <w:tcPr>
            <w:tcW w:type="dxa" w:w="4032"/>
            <w:vAlign w:val="top"/>
          </w:tcPr>
          <w:p>
            <w:pPr>
              <w:spacing w:after="0"/>
            </w:pPr>
            <w:r/>
            <w:r>
              <w:rPr>
                <w:rFonts w:ascii="Liberation Sans" w:hAnsi="Liberation Sans"/>
                <w:b w:val="0"/>
                <w:sz w:val="17"/>
              </w:rPr>
              <w:t>Customer segmentation has no pre-existing customer group label</w:t>
            </w:r>
          </w:p>
        </w:tc>
      </w:tr>
      <w:tr>
        <w:tc>
          <w:tcPr>
            <w:tcW w:type="dxa" w:w="2016"/>
            <w:vAlign w:val="top"/>
            <w:shd w:fill="F7FAFC"/>
          </w:tcPr>
          <w:p>
            <w:pPr>
              <w:spacing w:after="0"/>
            </w:pPr>
            <w:r/>
            <w:r>
              <w:rPr>
                <w:rFonts w:ascii="Liberation Sans" w:hAnsi="Liberation Sans"/>
                <w:b w:val="0"/>
                <w:sz w:val="17"/>
              </w:rPr>
              <w:t>Cluster</w:t>
            </w:r>
          </w:p>
        </w:tc>
        <w:tc>
          <w:tcPr>
            <w:tcW w:type="dxa" w:w="4032"/>
            <w:vAlign w:val="top"/>
            <w:shd w:fill="F7FAFC"/>
          </w:tcPr>
          <w:p>
            <w:pPr>
              <w:spacing w:after="0"/>
            </w:pPr>
            <w:r/>
            <w:r>
              <w:rPr>
                <w:rFonts w:ascii="Liberation Sans" w:hAnsi="Liberation Sans"/>
                <w:b w:val="0"/>
                <w:sz w:val="17"/>
              </w:rPr>
              <w:t>A group of similar customers</w:t>
            </w:r>
          </w:p>
        </w:tc>
        <w:tc>
          <w:tcPr>
            <w:tcW w:type="dxa" w:w="4032"/>
            <w:vAlign w:val="top"/>
            <w:shd w:fill="F7FAFC"/>
          </w:tcPr>
          <w:p>
            <w:pPr>
              <w:spacing w:after="0"/>
            </w:pPr>
            <w:r/>
            <w:r>
              <w:rPr>
                <w:rFonts w:ascii="Liberation Sans" w:hAnsi="Liberation Sans"/>
                <w:b w:val="0"/>
                <w:sz w:val="17"/>
              </w:rPr>
              <w:t>Used to group Online Retail customers by RFM behaviour</w:t>
            </w:r>
          </w:p>
        </w:tc>
      </w:tr>
      <w:tr>
        <w:tc>
          <w:tcPr>
            <w:tcW w:type="dxa" w:w="2016"/>
            <w:vAlign w:val="top"/>
          </w:tcPr>
          <w:p>
            <w:pPr>
              <w:spacing w:after="0"/>
            </w:pPr>
            <w:r/>
            <w:r>
              <w:rPr>
                <w:rFonts w:ascii="Liberation Sans" w:hAnsi="Liberation Sans"/>
                <w:b w:val="0"/>
                <w:sz w:val="17"/>
              </w:rPr>
              <w:t>Distance</w:t>
            </w:r>
          </w:p>
        </w:tc>
        <w:tc>
          <w:tcPr>
            <w:tcW w:type="dxa" w:w="4032"/>
            <w:vAlign w:val="top"/>
          </w:tcPr>
          <w:p>
            <w:pPr>
              <w:spacing w:after="0"/>
            </w:pPr>
            <w:r/>
            <w:r>
              <w:rPr>
                <w:rFonts w:ascii="Liberation Sans" w:hAnsi="Liberation Sans"/>
                <w:b w:val="0"/>
                <w:sz w:val="17"/>
              </w:rPr>
              <w:t>How far customers are from each other in feature space</w:t>
            </w:r>
          </w:p>
        </w:tc>
        <w:tc>
          <w:tcPr>
            <w:tcW w:type="dxa" w:w="4032"/>
            <w:vAlign w:val="top"/>
          </w:tcPr>
          <w:p>
            <w:pPr>
              <w:spacing w:after="0"/>
            </w:pPr>
            <w:r/>
            <w:r>
              <w:rPr>
                <w:rFonts w:ascii="Liberation Sans" w:hAnsi="Liberation Sans"/>
                <w:b w:val="0"/>
                <w:sz w:val="17"/>
              </w:rPr>
              <w:t>Core idea behind K-Means, DBSCAN and hierarchical clustering</w:t>
            </w:r>
          </w:p>
        </w:tc>
      </w:tr>
      <w:tr>
        <w:tc>
          <w:tcPr>
            <w:tcW w:type="dxa" w:w="2016"/>
            <w:vAlign w:val="top"/>
            <w:shd w:fill="F7FAFC"/>
          </w:tcPr>
          <w:p>
            <w:pPr>
              <w:spacing w:after="0"/>
            </w:pPr>
            <w:r/>
            <w:r>
              <w:rPr>
                <w:rFonts w:ascii="Liberation Sans" w:hAnsi="Liberation Sans"/>
                <w:b w:val="0"/>
                <w:sz w:val="17"/>
              </w:rPr>
              <w:t>Scaling</w:t>
            </w:r>
          </w:p>
        </w:tc>
        <w:tc>
          <w:tcPr>
            <w:tcW w:type="dxa" w:w="4032"/>
            <w:vAlign w:val="top"/>
            <w:shd w:fill="F7FAFC"/>
          </w:tcPr>
          <w:p>
            <w:pPr>
              <w:spacing w:after="0"/>
            </w:pPr>
            <w:r/>
            <w:r>
              <w:rPr>
                <w:rFonts w:ascii="Liberation Sans" w:hAnsi="Liberation Sans"/>
                <w:b w:val="0"/>
                <w:sz w:val="17"/>
              </w:rPr>
              <w:t>Putting features on a comparable scale</w:t>
            </w:r>
          </w:p>
        </w:tc>
        <w:tc>
          <w:tcPr>
            <w:tcW w:type="dxa" w:w="4032"/>
            <w:vAlign w:val="top"/>
            <w:shd w:fill="F7FAFC"/>
          </w:tcPr>
          <w:p>
            <w:pPr>
              <w:spacing w:after="0"/>
            </w:pPr>
            <w:r/>
            <w:r>
              <w:rPr>
                <w:rFonts w:ascii="Liberation Sans" w:hAnsi="Liberation Sans"/>
                <w:b w:val="0"/>
                <w:sz w:val="17"/>
              </w:rPr>
              <w:t>Required because R, F and M have different units</w:t>
            </w:r>
          </w:p>
        </w:tc>
      </w:tr>
    </w:tbl>
    <w:p>
      <w:pPr>
        <w:spacing w:after="100"/>
      </w:pPr>
    </w:p>
    <w:p>
      <w:pPr>
        <w:pStyle w:val="Heading1"/>
      </w:pPr>
      <w:r>
        <w:t>2. RFM theory</w:t>
      </w:r>
    </w:p>
    <w:p>
      <w:pPr>
        <w:spacing w:after="100"/>
      </w:pPr>
      <w:r>
        <w:t>RFM is a customer analytics method that summarizes purchase behaviour into three values. Recency measures how recently a customer purchased. Frequency measures how often they purchased. Monetary value measures how much they spent.</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728"/>
            <w:shd w:fill="1F4E79"/>
            <w:vAlign w:val="center"/>
          </w:tcPr>
          <w:p>
            <w:pPr>
              <w:spacing w:after="0"/>
            </w:pPr>
            <w:r/>
            <w:r>
              <w:rPr>
                <w:rFonts w:ascii="Liberation Sans" w:hAnsi="Liberation Sans"/>
                <w:b/>
                <w:color w:val="FFFFFF"/>
                <w:sz w:val="17"/>
              </w:rPr>
              <w:t>Feature</w:t>
            </w:r>
          </w:p>
        </w:tc>
        <w:tc>
          <w:tcPr>
            <w:tcW w:type="dxa" w:w="3312"/>
            <w:shd w:fill="1F4E79"/>
            <w:vAlign w:val="center"/>
          </w:tcPr>
          <w:p>
            <w:pPr>
              <w:spacing w:after="0"/>
            </w:pPr>
            <w:r/>
            <w:r>
              <w:rPr>
                <w:rFonts w:ascii="Liberation Sans" w:hAnsi="Liberation Sans"/>
                <w:b/>
                <w:color w:val="FFFFFF"/>
                <w:sz w:val="17"/>
              </w:rPr>
              <w:t>Meaning</w:t>
            </w:r>
          </w:p>
        </w:tc>
        <w:tc>
          <w:tcPr>
            <w:tcW w:type="dxa" w:w="4752"/>
            <w:shd w:fill="1F4E79"/>
            <w:vAlign w:val="center"/>
          </w:tcPr>
          <w:p>
            <w:pPr>
              <w:spacing w:after="0"/>
            </w:pPr>
            <w:r/>
            <w:r>
              <w:rPr>
                <w:rFonts w:ascii="Liberation Sans" w:hAnsi="Liberation Sans"/>
                <w:b/>
                <w:color w:val="FFFFFF"/>
                <w:sz w:val="17"/>
              </w:rPr>
              <w:t>Business interpretation</w:t>
            </w:r>
          </w:p>
        </w:tc>
      </w:tr>
      <w:tr>
        <w:tc>
          <w:tcPr>
            <w:tcW w:type="dxa" w:w="1728"/>
            <w:vAlign w:val="top"/>
          </w:tcPr>
          <w:p>
            <w:pPr>
              <w:spacing w:after="0"/>
            </w:pPr>
            <w:r/>
            <w:r>
              <w:rPr>
                <w:rFonts w:ascii="Liberation Sans" w:hAnsi="Liberation Sans"/>
                <w:b w:val="0"/>
                <w:sz w:val="17"/>
              </w:rPr>
              <w:t>Recency</w:t>
            </w:r>
          </w:p>
        </w:tc>
        <w:tc>
          <w:tcPr>
            <w:tcW w:type="dxa" w:w="3312"/>
            <w:vAlign w:val="top"/>
          </w:tcPr>
          <w:p>
            <w:pPr>
              <w:spacing w:after="0"/>
            </w:pPr>
            <w:r/>
            <w:r>
              <w:rPr>
                <w:rFonts w:ascii="Liberation Sans" w:hAnsi="Liberation Sans"/>
                <w:b w:val="0"/>
                <w:sz w:val="17"/>
              </w:rPr>
              <w:t>Days since last purchase</w:t>
            </w:r>
          </w:p>
        </w:tc>
        <w:tc>
          <w:tcPr>
            <w:tcW w:type="dxa" w:w="4752"/>
            <w:vAlign w:val="top"/>
          </w:tcPr>
          <w:p>
            <w:pPr>
              <w:spacing w:after="0"/>
            </w:pPr>
            <w:r/>
            <w:r>
              <w:rPr>
                <w:rFonts w:ascii="Liberation Sans" w:hAnsi="Liberation Sans"/>
                <w:b w:val="0"/>
                <w:sz w:val="17"/>
              </w:rPr>
              <w:t>Lower recency usually means more recent engagement</w:t>
            </w:r>
          </w:p>
        </w:tc>
      </w:tr>
      <w:tr>
        <w:tc>
          <w:tcPr>
            <w:tcW w:type="dxa" w:w="1728"/>
            <w:vAlign w:val="top"/>
            <w:shd w:fill="F7FAFC"/>
          </w:tcPr>
          <w:p>
            <w:pPr>
              <w:spacing w:after="0"/>
            </w:pPr>
            <w:r/>
            <w:r>
              <w:rPr>
                <w:rFonts w:ascii="Liberation Sans" w:hAnsi="Liberation Sans"/>
                <w:b w:val="0"/>
                <w:sz w:val="17"/>
              </w:rPr>
              <w:t>Frequency</w:t>
            </w:r>
          </w:p>
        </w:tc>
        <w:tc>
          <w:tcPr>
            <w:tcW w:type="dxa" w:w="3312"/>
            <w:vAlign w:val="top"/>
            <w:shd w:fill="F7FAFC"/>
          </w:tcPr>
          <w:p>
            <w:pPr>
              <w:spacing w:after="0"/>
            </w:pPr>
            <w:r/>
            <w:r>
              <w:rPr>
                <w:rFonts w:ascii="Liberation Sans" w:hAnsi="Liberation Sans"/>
                <w:b w:val="0"/>
                <w:sz w:val="17"/>
              </w:rPr>
              <w:t>Number of purchases or purchase events</w:t>
            </w:r>
          </w:p>
        </w:tc>
        <w:tc>
          <w:tcPr>
            <w:tcW w:type="dxa" w:w="4752"/>
            <w:vAlign w:val="top"/>
            <w:shd w:fill="F7FAFC"/>
          </w:tcPr>
          <w:p>
            <w:pPr>
              <w:spacing w:after="0"/>
            </w:pPr>
            <w:r/>
            <w:r>
              <w:rPr>
                <w:rFonts w:ascii="Liberation Sans" w:hAnsi="Liberation Sans"/>
                <w:b w:val="0"/>
                <w:sz w:val="17"/>
              </w:rPr>
              <w:t>Higher frequency means stronger buying habit</w:t>
            </w:r>
          </w:p>
        </w:tc>
      </w:tr>
      <w:tr>
        <w:tc>
          <w:tcPr>
            <w:tcW w:type="dxa" w:w="1728"/>
            <w:vAlign w:val="top"/>
          </w:tcPr>
          <w:p>
            <w:pPr>
              <w:spacing w:after="0"/>
            </w:pPr>
            <w:r/>
            <w:r>
              <w:rPr>
                <w:rFonts w:ascii="Liberation Sans" w:hAnsi="Liberation Sans"/>
                <w:b w:val="0"/>
                <w:sz w:val="17"/>
              </w:rPr>
              <w:t>Monetary</w:t>
            </w:r>
          </w:p>
        </w:tc>
        <w:tc>
          <w:tcPr>
            <w:tcW w:type="dxa" w:w="3312"/>
            <w:vAlign w:val="top"/>
          </w:tcPr>
          <w:p>
            <w:pPr>
              <w:spacing w:after="0"/>
            </w:pPr>
            <w:r/>
            <w:r>
              <w:rPr>
                <w:rFonts w:ascii="Liberation Sans" w:hAnsi="Liberation Sans"/>
                <w:b w:val="0"/>
                <w:sz w:val="17"/>
              </w:rPr>
              <w:t>Total spend</w:t>
            </w:r>
          </w:p>
        </w:tc>
        <w:tc>
          <w:tcPr>
            <w:tcW w:type="dxa" w:w="4752"/>
            <w:vAlign w:val="top"/>
          </w:tcPr>
          <w:p>
            <w:pPr>
              <w:spacing w:after="0"/>
            </w:pPr>
            <w:r/>
            <w:r>
              <w:rPr>
                <w:rFonts w:ascii="Liberation Sans" w:hAnsi="Liberation Sans"/>
                <w:b w:val="0"/>
                <w:sz w:val="17"/>
              </w:rPr>
              <w:t>Higher monetary value indicates stronger revenue contribution</w:t>
            </w:r>
          </w:p>
        </w:tc>
      </w:tr>
    </w:tbl>
    <w:p>
      <w:pPr>
        <w:spacing w:after="100"/>
      </w:pPr>
    </w:p>
    <w:p>
      <w:pPr>
        <w:pStyle w:val="Heading1"/>
      </w:pPr>
      <w:r>
        <w:t>3. PCA theory for visual maps</w:t>
      </w:r>
    </w:p>
    <w:p>
      <w:pPr>
        <w:spacing w:after="100"/>
      </w:pPr>
      <w:r>
        <w:t>PCA compresses multiple numerical features into fewer visual dimensions. In this project, PCA is used only for plotting. The clustering models still use scaled RFM values. The first two PCA components explain 88.96% of the scaled RFM structure, which makes the 2D map useful for visual checking.</w:t>
      </w:r>
    </w:p>
    <w:p>
      <w:pPr>
        <w:pStyle w:val="Heading1"/>
      </w:pPr>
      <w:r>
        <w:t>4. Partitioning methods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2016"/>
            <w:shd w:fill="1F4E79"/>
            <w:vAlign w:val="center"/>
          </w:tcPr>
          <w:p>
            <w:pPr>
              <w:spacing w:after="0"/>
            </w:pPr>
            <w:r/>
            <w:r>
              <w:rPr>
                <w:rFonts w:ascii="Liberation Sans" w:hAnsi="Liberation Sans"/>
                <w:b/>
                <w:color w:val="FFFFFF"/>
                <w:sz w:val="17"/>
              </w:rPr>
              <w:t>Method</w:t>
            </w:r>
          </w:p>
        </w:tc>
        <w:tc>
          <w:tcPr>
            <w:tcW w:type="dxa" w:w="4320"/>
            <w:shd w:fill="1F4E79"/>
            <w:vAlign w:val="center"/>
          </w:tcPr>
          <w:p>
            <w:pPr>
              <w:spacing w:after="0"/>
            </w:pPr>
            <w:r/>
            <w:r>
              <w:rPr>
                <w:rFonts w:ascii="Liberation Sans" w:hAnsi="Liberation Sans"/>
                <w:b/>
                <w:color w:val="FFFFFF"/>
                <w:sz w:val="17"/>
              </w:rPr>
              <w:t>Theory idea</w:t>
            </w:r>
          </w:p>
        </w:tc>
        <w:tc>
          <w:tcPr>
            <w:tcW w:type="dxa" w:w="3456"/>
            <w:shd w:fill="1F4E79"/>
            <w:vAlign w:val="center"/>
          </w:tcPr>
          <w:p>
            <w:pPr>
              <w:spacing w:after="0"/>
            </w:pPr>
            <w:r/>
            <w:r>
              <w:rPr>
                <w:rFonts w:ascii="Liberation Sans" w:hAnsi="Liberation Sans"/>
                <w:b/>
                <w:color w:val="FFFFFF"/>
                <w:sz w:val="17"/>
              </w:rPr>
              <w:t>Project use</w:t>
            </w:r>
          </w:p>
        </w:tc>
      </w:tr>
      <w:tr>
        <w:tc>
          <w:tcPr>
            <w:tcW w:type="dxa" w:w="2016"/>
            <w:vAlign w:val="top"/>
          </w:tcPr>
          <w:p>
            <w:pPr>
              <w:spacing w:after="0"/>
            </w:pPr>
            <w:r/>
            <w:r>
              <w:rPr>
                <w:rFonts w:ascii="Liberation Sans" w:hAnsi="Liberation Sans"/>
                <w:b w:val="0"/>
                <w:sz w:val="17"/>
              </w:rPr>
              <w:t>K-Means</w:t>
            </w:r>
          </w:p>
        </w:tc>
        <w:tc>
          <w:tcPr>
            <w:tcW w:type="dxa" w:w="4320"/>
            <w:vAlign w:val="top"/>
          </w:tcPr>
          <w:p>
            <w:pPr>
              <w:spacing w:after="0"/>
            </w:pPr>
            <w:r/>
            <w:r>
              <w:rPr>
                <w:rFonts w:ascii="Liberation Sans" w:hAnsi="Liberation Sans"/>
                <w:b w:val="0"/>
                <w:sz w:val="17"/>
              </w:rPr>
              <w:t>Creates exactly k groups using centroids</w:t>
            </w:r>
          </w:p>
        </w:tc>
        <w:tc>
          <w:tcPr>
            <w:tcW w:type="dxa" w:w="3456"/>
            <w:vAlign w:val="top"/>
          </w:tcPr>
          <w:p>
            <w:pPr>
              <w:spacing w:after="0"/>
            </w:pPr>
            <w:r/>
            <w:r>
              <w:rPr>
                <w:rFonts w:ascii="Liberation Sans" w:hAnsi="Liberation Sans"/>
                <w:b w:val="0"/>
                <w:sz w:val="17"/>
              </w:rPr>
              <w:t>Main segmentation baseline</w:t>
            </w:r>
          </w:p>
        </w:tc>
      </w:tr>
      <w:tr>
        <w:tc>
          <w:tcPr>
            <w:tcW w:type="dxa" w:w="2016"/>
            <w:vAlign w:val="top"/>
            <w:shd w:fill="F7FAFC"/>
          </w:tcPr>
          <w:p>
            <w:pPr>
              <w:spacing w:after="0"/>
            </w:pPr>
            <w:r/>
            <w:r>
              <w:rPr>
                <w:rFonts w:ascii="Liberation Sans" w:hAnsi="Liberation Sans"/>
                <w:b w:val="0"/>
                <w:sz w:val="17"/>
              </w:rPr>
              <w:t>MiniBatchKMeans</w:t>
            </w:r>
          </w:p>
        </w:tc>
        <w:tc>
          <w:tcPr>
            <w:tcW w:type="dxa" w:w="4320"/>
            <w:vAlign w:val="top"/>
            <w:shd w:fill="F7FAFC"/>
          </w:tcPr>
          <w:p>
            <w:pPr>
              <w:spacing w:after="0"/>
            </w:pPr>
            <w:r/>
            <w:r>
              <w:rPr>
                <w:rFonts w:ascii="Liberation Sans" w:hAnsi="Liberation Sans"/>
                <w:b w:val="0"/>
                <w:sz w:val="17"/>
              </w:rPr>
              <w:t>Faster K-Means using small batches</w:t>
            </w:r>
          </w:p>
        </w:tc>
        <w:tc>
          <w:tcPr>
            <w:tcW w:type="dxa" w:w="3456"/>
            <w:vAlign w:val="top"/>
            <w:shd w:fill="F7FAFC"/>
          </w:tcPr>
          <w:p>
            <w:pPr>
              <w:spacing w:after="0"/>
            </w:pPr>
            <w:r/>
            <w:r>
              <w:rPr>
                <w:rFonts w:ascii="Liberation Sans" w:hAnsi="Liberation Sans"/>
                <w:b w:val="0"/>
                <w:sz w:val="17"/>
              </w:rPr>
              <w:t>Speed comparison</w:t>
            </w:r>
          </w:p>
        </w:tc>
      </w:tr>
      <w:tr>
        <w:tc>
          <w:tcPr>
            <w:tcW w:type="dxa" w:w="2016"/>
            <w:vAlign w:val="top"/>
          </w:tcPr>
          <w:p>
            <w:pPr>
              <w:spacing w:after="0"/>
            </w:pPr>
            <w:r/>
            <w:r>
              <w:rPr>
                <w:rFonts w:ascii="Liberation Sans" w:hAnsi="Liberation Sans"/>
                <w:b w:val="0"/>
                <w:sz w:val="17"/>
              </w:rPr>
              <w:t>K-Modes</w:t>
            </w:r>
          </w:p>
        </w:tc>
        <w:tc>
          <w:tcPr>
            <w:tcW w:type="dxa" w:w="4320"/>
            <w:vAlign w:val="top"/>
          </w:tcPr>
          <w:p>
            <w:pPr>
              <w:spacing w:after="0"/>
            </w:pPr>
            <w:r/>
            <w:r>
              <w:rPr>
                <w:rFonts w:ascii="Liberation Sans" w:hAnsi="Liberation Sans"/>
                <w:b w:val="0"/>
                <w:sz w:val="17"/>
              </w:rPr>
              <w:t>Clusters categorical features by matching categories</w:t>
            </w:r>
          </w:p>
        </w:tc>
        <w:tc>
          <w:tcPr>
            <w:tcW w:type="dxa" w:w="3456"/>
            <w:vAlign w:val="top"/>
          </w:tcPr>
          <w:p>
            <w:pPr>
              <w:spacing w:after="0"/>
            </w:pPr>
            <w:r/>
            <w:r>
              <w:rPr>
                <w:rFonts w:ascii="Liberation Sans" w:hAnsi="Liberation Sans"/>
                <w:b w:val="0"/>
                <w:sz w:val="17"/>
              </w:rPr>
              <w:t>Country, product and RFM category view</w:t>
            </w:r>
          </w:p>
        </w:tc>
      </w:tr>
      <w:tr>
        <w:tc>
          <w:tcPr>
            <w:tcW w:type="dxa" w:w="2016"/>
            <w:vAlign w:val="top"/>
            <w:shd w:fill="F7FAFC"/>
          </w:tcPr>
          <w:p>
            <w:pPr>
              <w:spacing w:after="0"/>
            </w:pPr>
            <w:r/>
            <w:r>
              <w:rPr>
                <w:rFonts w:ascii="Liberation Sans" w:hAnsi="Liberation Sans"/>
                <w:b w:val="0"/>
                <w:sz w:val="17"/>
              </w:rPr>
              <w:t>K-Medoids / fallback</w:t>
            </w:r>
          </w:p>
        </w:tc>
        <w:tc>
          <w:tcPr>
            <w:tcW w:type="dxa" w:w="4320"/>
            <w:vAlign w:val="top"/>
            <w:shd w:fill="F7FAFC"/>
          </w:tcPr>
          <w:p>
            <w:pPr>
              <w:spacing w:after="0"/>
            </w:pPr>
            <w:r/>
            <w:r>
              <w:rPr>
                <w:rFonts w:ascii="Liberation Sans" w:hAnsi="Liberation Sans"/>
                <w:b w:val="0"/>
                <w:sz w:val="17"/>
              </w:rPr>
              <w:t>Uses real representative customers instead of centroids</w:t>
            </w:r>
          </w:p>
        </w:tc>
        <w:tc>
          <w:tcPr>
            <w:tcW w:type="dxa" w:w="3456"/>
            <w:vAlign w:val="top"/>
            <w:shd w:fill="F7FAFC"/>
          </w:tcPr>
          <w:p>
            <w:pPr>
              <w:spacing w:after="0"/>
            </w:pPr>
            <w:r/>
            <w:r>
              <w:rPr>
                <w:rFonts w:ascii="Liberation Sans" w:hAnsi="Liberation Sans"/>
                <w:b w:val="0"/>
                <w:sz w:val="17"/>
              </w:rPr>
              <w:t>Robustness comparison</w:t>
            </w:r>
          </w:p>
        </w:tc>
      </w:tr>
      <w:tr>
        <w:tc>
          <w:tcPr>
            <w:tcW w:type="dxa" w:w="2016"/>
            <w:vAlign w:val="top"/>
          </w:tcPr>
          <w:p>
            <w:pPr>
              <w:spacing w:after="0"/>
            </w:pPr>
            <w:r/>
            <w:r>
              <w:rPr>
                <w:rFonts w:ascii="Liberation Sans" w:hAnsi="Liberation Sans"/>
                <w:b w:val="0"/>
                <w:sz w:val="17"/>
              </w:rPr>
              <w:t>K-Prototypes</w:t>
            </w:r>
          </w:p>
        </w:tc>
        <w:tc>
          <w:tcPr>
            <w:tcW w:type="dxa" w:w="4320"/>
            <w:vAlign w:val="top"/>
          </w:tcPr>
          <w:p>
            <w:pPr>
              <w:spacing w:after="0"/>
            </w:pPr>
            <w:r/>
            <w:r>
              <w:rPr>
                <w:rFonts w:ascii="Liberation Sans" w:hAnsi="Liberation Sans"/>
                <w:b w:val="0"/>
                <w:sz w:val="17"/>
              </w:rPr>
              <w:t>Combines numeric and categorical features</w:t>
            </w:r>
          </w:p>
        </w:tc>
        <w:tc>
          <w:tcPr>
            <w:tcW w:type="dxa" w:w="3456"/>
            <w:vAlign w:val="top"/>
          </w:tcPr>
          <w:p>
            <w:pPr>
              <w:spacing w:after="0"/>
            </w:pPr>
            <w:r/>
            <w:r>
              <w:rPr>
                <w:rFonts w:ascii="Liberation Sans" w:hAnsi="Liberation Sans"/>
                <w:b w:val="0"/>
                <w:sz w:val="17"/>
              </w:rPr>
              <w:t>Mixed data clustering view</w:t>
            </w:r>
          </w:p>
        </w:tc>
      </w:tr>
    </w:tbl>
    <w:p>
      <w:pPr>
        <w:spacing w:after="100"/>
      </w:pPr>
    </w:p>
    <w:p>
      <w:pPr>
        <w:spacing w:after="100"/>
      </w:pPr>
      <w:r>
        <w:t>K-Means requires a chosen k. The project tested k=3, k=5 and k=7, then used both metrics and business readability to select k=5 as the main baseline.</w:t>
      </w:r>
    </w:p>
    <w:p>
      <w:pPr>
        <w:pStyle w:val="Heading1"/>
      </w:pPr>
      <w:r>
        <w:t>5. Outlier detection theory</w:t>
      </w:r>
    </w:p>
    <w:p>
      <w:pPr>
        <w:spacing w:after="100"/>
      </w:pPr>
      <w:r>
        <w:t>Outliers are customers that behave very differently from the majority. In retail data, outliers are not automatically bad. They may be VIP buyers, wholesale customers, inactive edge cases or data quality cases. The project used top 1%, IQR, Isolation Forest and Local Outlier Factor to mark strong outliers.</w:t>
      </w:r>
    </w:p>
    <w:p>
      <w:pPr>
        <w:pStyle w:val="Heading1"/>
      </w:pPr>
      <w:r>
        <w:t>6. Density-based clustering theory</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872"/>
            <w:shd w:fill="1F4E79"/>
            <w:vAlign w:val="center"/>
          </w:tcPr>
          <w:p>
            <w:pPr>
              <w:spacing w:after="0"/>
            </w:pPr>
            <w:r/>
            <w:r>
              <w:rPr>
                <w:rFonts w:ascii="Liberation Sans" w:hAnsi="Liberation Sans"/>
                <w:b/>
                <w:color w:val="FFFFFF"/>
                <w:sz w:val="17"/>
              </w:rPr>
              <w:t>Concept</w:t>
            </w:r>
          </w:p>
        </w:tc>
        <w:tc>
          <w:tcPr>
            <w:tcW w:type="dxa" w:w="4464"/>
            <w:shd w:fill="1F4E79"/>
            <w:vAlign w:val="center"/>
          </w:tcPr>
          <w:p>
            <w:pPr>
              <w:spacing w:after="0"/>
            </w:pPr>
            <w:r/>
            <w:r>
              <w:rPr>
                <w:rFonts w:ascii="Liberation Sans" w:hAnsi="Liberation Sans"/>
                <w:b/>
                <w:color w:val="FFFFFF"/>
                <w:sz w:val="17"/>
              </w:rPr>
              <w:t>Theory idea</w:t>
            </w:r>
          </w:p>
        </w:tc>
        <w:tc>
          <w:tcPr>
            <w:tcW w:type="dxa" w:w="3600"/>
            <w:shd w:fill="1F4E79"/>
            <w:vAlign w:val="center"/>
          </w:tcPr>
          <w:p>
            <w:pPr>
              <w:spacing w:after="0"/>
            </w:pPr>
            <w:r/>
            <w:r>
              <w:rPr>
                <w:rFonts w:ascii="Liberation Sans" w:hAnsi="Liberation Sans"/>
                <w:b/>
                <w:color w:val="FFFFFF"/>
                <w:sz w:val="17"/>
              </w:rPr>
              <w:t>Project use</w:t>
            </w:r>
          </w:p>
        </w:tc>
      </w:tr>
      <w:tr>
        <w:tc>
          <w:tcPr>
            <w:tcW w:type="dxa" w:w="1872"/>
            <w:vAlign w:val="top"/>
          </w:tcPr>
          <w:p>
            <w:pPr>
              <w:spacing w:after="0"/>
            </w:pPr>
            <w:r/>
            <w:r>
              <w:rPr>
                <w:rFonts w:ascii="Liberation Sans" w:hAnsi="Liberation Sans"/>
                <w:b w:val="0"/>
                <w:sz w:val="17"/>
              </w:rPr>
              <w:t>DBSCAN</w:t>
            </w:r>
          </w:p>
        </w:tc>
        <w:tc>
          <w:tcPr>
            <w:tcW w:type="dxa" w:w="4464"/>
            <w:vAlign w:val="top"/>
          </w:tcPr>
          <w:p>
            <w:pPr>
              <w:spacing w:after="0"/>
            </w:pPr>
            <w:r/>
            <w:r>
              <w:rPr>
                <w:rFonts w:ascii="Liberation Sans" w:hAnsi="Liberation Sans"/>
                <w:b w:val="0"/>
                <w:sz w:val="17"/>
              </w:rPr>
              <w:t>Dense areas become clusters; far-away points become noise</w:t>
            </w:r>
          </w:p>
        </w:tc>
        <w:tc>
          <w:tcPr>
            <w:tcW w:type="dxa" w:w="3600"/>
            <w:vAlign w:val="top"/>
          </w:tcPr>
          <w:p>
            <w:pPr>
              <w:spacing w:after="0"/>
            </w:pPr>
            <w:r/>
            <w:r>
              <w:rPr>
                <w:rFonts w:ascii="Liberation Sans" w:hAnsi="Liberation Sans"/>
                <w:b w:val="0"/>
                <w:sz w:val="17"/>
              </w:rPr>
              <w:t>Finds dense groups and 63 noise customers</w:t>
            </w:r>
          </w:p>
        </w:tc>
      </w:tr>
      <w:tr>
        <w:tc>
          <w:tcPr>
            <w:tcW w:type="dxa" w:w="1872"/>
            <w:vAlign w:val="top"/>
            <w:shd w:fill="F7FAFC"/>
          </w:tcPr>
          <w:p>
            <w:pPr>
              <w:spacing w:after="0"/>
            </w:pPr>
            <w:r/>
            <w:r>
              <w:rPr>
                <w:rFonts w:ascii="Liberation Sans" w:hAnsi="Liberation Sans"/>
                <w:b w:val="0"/>
                <w:sz w:val="17"/>
              </w:rPr>
              <w:t>eps</w:t>
            </w:r>
          </w:p>
        </w:tc>
        <w:tc>
          <w:tcPr>
            <w:tcW w:type="dxa" w:w="4464"/>
            <w:vAlign w:val="top"/>
            <w:shd w:fill="F7FAFC"/>
          </w:tcPr>
          <w:p>
            <w:pPr>
              <w:spacing w:after="0"/>
            </w:pPr>
            <w:r/>
            <w:r>
              <w:rPr>
                <w:rFonts w:ascii="Liberation Sans" w:hAnsi="Liberation Sans"/>
                <w:b w:val="0"/>
                <w:sz w:val="17"/>
              </w:rPr>
              <w:t>Neighbourhood radius around a point</w:t>
            </w:r>
          </w:p>
        </w:tc>
        <w:tc>
          <w:tcPr>
            <w:tcW w:type="dxa" w:w="3600"/>
            <w:vAlign w:val="top"/>
            <w:shd w:fill="F7FAFC"/>
          </w:tcPr>
          <w:p>
            <w:pPr>
              <w:spacing w:after="0"/>
            </w:pPr>
            <w:r/>
            <w:r>
              <w:rPr>
                <w:rFonts w:ascii="Liberation Sans" w:hAnsi="Liberation Sans"/>
                <w:b w:val="0"/>
                <w:sz w:val="17"/>
              </w:rPr>
              <w:t>Tested 0.5, 1.0 and 2.0</w:t>
            </w:r>
          </w:p>
        </w:tc>
      </w:tr>
      <w:tr>
        <w:tc>
          <w:tcPr>
            <w:tcW w:type="dxa" w:w="1872"/>
            <w:vAlign w:val="top"/>
          </w:tcPr>
          <w:p>
            <w:pPr>
              <w:spacing w:after="0"/>
            </w:pPr>
            <w:r/>
            <w:r>
              <w:rPr>
                <w:rFonts w:ascii="Liberation Sans" w:hAnsi="Liberation Sans"/>
                <w:b w:val="0"/>
                <w:sz w:val="17"/>
              </w:rPr>
              <w:t>min_samples</w:t>
            </w:r>
          </w:p>
        </w:tc>
        <w:tc>
          <w:tcPr>
            <w:tcW w:type="dxa" w:w="4464"/>
            <w:vAlign w:val="top"/>
          </w:tcPr>
          <w:p>
            <w:pPr>
              <w:spacing w:after="0"/>
            </w:pPr>
            <w:r/>
            <w:r>
              <w:rPr>
                <w:rFonts w:ascii="Liberation Sans" w:hAnsi="Liberation Sans"/>
                <w:b w:val="0"/>
                <w:sz w:val="17"/>
              </w:rPr>
              <w:t>Minimum neighbours needed for a dense area</w:t>
            </w:r>
          </w:p>
        </w:tc>
        <w:tc>
          <w:tcPr>
            <w:tcW w:type="dxa" w:w="3600"/>
            <w:vAlign w:val="top"/>
          </w:tcPr>
          <w:p>
            <w:pPr>
              <w:spacing w:after="0"/>
            </w:pPr>
            <w:r/>
            <w:r>
              <w:rPr>
                <w:rFonts w:ascii="Liberation Sans" w:hAnsi="Liberation Sans"/>
                <w:b w:val="0"/>
                <w:sz w:val="17"/>
              </w:rPr>
              <w:t>Tested 3, 5 and 10</w:t>
            </w:r>
          </w:p>
        </w:tc>
      </w:tr>
      <w:tr>
        <w:tc>
          <w:tcPr>
            <w:tcW w:type="dxa" w:w="1872"/>
            <w:vAlign w:val="top"/>
            <w:shd w:fill="F7FAFC"/>
          </w:tcPr>
          <w:p>
            <w:pPr>
              <w:spacing w:after="0"/>
            </w:pPr>
            <w:r/>
            <w:r>
              <w:rPr>
                <w:rFonts w:ascii="Liberation Sans" w:hAnsi="Liberation Sans"/>
                <w:b w:val="0"/>
                <w:sz w:val="17"/>
              </w:rPr>
              <w:t>OPTICS</w:t>
            </w:r>
          </w:p>
        </w:tc>
        <w:tc>
          <w:tcPr>
            <w:tcW w:type="dxa" w:w="4464"/>
            <w:vAlign w:val="top"/>
            <w:shd w:fill="F7FAFC"/>
          </w:tcPr>
          <w:p>
            <w:pPr>
              <w:spacing w:after="0"/>
            </w:pPr>
            <w:r/>
            <w:r>
              <w:rPr>
                <w:rFonts w:ascii="Liberation Sans" w:hAnsi="Liberation Sans"/>
                <w:b w:val="0"/>
                <w:sz w:val="17"/>
              </w:rPr>
              <w:t>Explores density across multiple levels</w:t>
            </w:r>
          </w:p>
        </w:tc>
        <w:tc>
          <w:tcPr>
            <w:tcW w:type="dxa" w:w="3600"/>
            <w:vAlign w:val="top"/>
            <w:shd w:fill="F7FAFC"/>
          </w:tcPr>
          <w:p>
            <w:pPr>
              <w:spacing w:after="0"/>
            </w:pPr>
            <w:r/>
            <w:r>
              <w:rPr>
                <w:rFonts w:ascii="Liberation Sans" w:hAnsi="Liberation Sans"/>
                <w:b w:val="0"/>
                <w:sz w:val="17"/>
              </w:rPr>
              <w:t>Exploration; too strict for final segmentation</w:t>
            </w:r>
          </w:p>
        </w:tc>
      </w:tr>
      <w:tr>
        <w:tc>
          <w:tcPr>
            <w:tcW w:type="dxa" w:w="1872"/>
            <w:vAlign w:val="top"/>
          </w:tcPr>
          <w:p>
            <w:pPr>
              <w:spacing w:after="0"/>
            </w:pPr>
            <w:r/>
            <w:r>
              <w:rPr>
                <w:rFonts w:ascii="Liberation Sans" w:hAnsi="Liberation Sans"/>
                <w:b w:val="0"/>
                <w:sz w:val="17"/>
              </w:rPr>
              <w:t>DENCLUE-style KDE</w:t>
            </w:r>
          </w:p>
        </w:tc>
        <w:tc>
          <w:tcPr>
            <w:tcW w:type="dxa" w:w="4464"/>
            <w:vAlign w:val="top"/>
          </w:tcPr>
          <w:p>
            <w:pPr>
              <w:spacing w:after="0"/>
            </w:pPr>
            <w:r/>
            <w:r>
              <w:rPr>
                <w:rFonts w:ascii="Liberation Sans" w:hAnsi="Liberation Sans"/>
                <w:b w:val="0"/>
                <w:sz w:val="17"/>
              </w:rPr>
              <w:t>Scores customer density with a smooth density estimate</w:t>
            </w:r>
          </w:p>
        </w:tc>
        <w:tc>
          <w:tcPr>
            <w:tcW w:type="dxa" w:w="3600"/>
            <w:vAlign w:val="top"/>
          </w:tcPr>
          <w:p>
            <w:pPr>
              <w:spacing w:after="0"/>
            </w:pPr>
            <w:r/>
            <w:r>
              <w:rPr>
                <w:rFonts w:ascii="Liberation Sans" w:hAnsi="Liberation Sans"/>
                <w:b w:val="0"/>
                <w:sz w:val="17"/>
              </w:rPr>
              <w:t>Supporting density score layer</w:t>
            </w:r>
          </w:p>
        </w:tc>
      </w:tr>
    </w:tbl>
    <w:p>
      <w:pPr>
        <w:spacing w:after="100"/>
      </w:pPr>
    </w:p>
    <w:p>
      <w:pPr>
        <w:pStyle w:val="Heading1"/>
      </w:pPr>
      <w:r>
        <w:t>7. Grid, Wave and subspace theory</w:t>
      </w:r>
    </w:p>
    <w:p>
      <w:pPr>
        <w:spacing w:after="100"/>
      </w:pPr>
      <w:r>
        <w:t>Grid methods divide the customer map into boxes and count customers in each box. STING summarizes grid cells. WaveCluster-style smoothing makes broader dense regions visible. CLIQUE-style subspace checking looks for dense patterns in two-feature spaces, such as Recency + Frequency or Frequency + Monetary.</w:t>
      </w:r>
    </w:p>
    <w:p>
      <w:pPr>
        <w:pStyle w:val="Heading1"/>
      </w:pPr>
      <w:r>
        <w:t>8. Hierarchical clustering theory</w:t>
      </w:r>
    </w:p>
    <w:p>
      <w:pPr>
        <w:spacing w:after="100"/>
      </w:pPr>
      <w:r>
        <w:t>Hierarchical clustering starts with each customer as its own group and repeatedly merges the closest groups. Ward linkage merges groups in a way that tries to keep within-cluster variance low. A dendrogram visualizes these merge steps.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2160"/>
            <w:shd w:fill="1F4E79"/>
            <w:vAlign w:val="center"/>
          </w:tcPr>
          <w:p>
            <w:pPr>
              <w:spacing w:after="0"/>
            </w:pPr>
            <w:r/>
            <w:r>
              <w:rPr>
                <w:rFonts w:ascii="Liberation Sans" w:hAnsi="Liberation Sans"/>
                <w:b/>
                <w:color w:val="FFFFFF"/>
                <w:sz w:val="17"/>
              </w:rPr>
              <w:t>Term</w:t>
            </w:r>
          </w:p>
        </w:tc>
        <w:tc>
          <w:tcPr>
            <w:tcW w:type="dxa" w:w="4032"/>
            <w:shd w:fill="1F4E79"/>
            <w:vAlign w:val="center"/>
          </w:tcPr>
          <w:p>
            <w:pPr>
              <w:spacing w:after="0"/>
            </w:pPr>
            <w:r/>
            <w:r>
              <w:rPr>
                <w:rFonts w:ascii="Liberation Sans" w:hAnsi="Liberation Sans"/>
                <w:b/>
                <w:color w:val="FFFFFF"/>
                <w:sz w:val="17"/>
              </w:rPr>
              <w:t>Simple meaning</w:t>
            </w:r>
          </w:p>
        </w:tc>
        <w:tc>
          <w:tcPr>
            <w:tcW w:type="dxa" w:w="3888"/>
            <w:shd w:fill="1F4E79"/>
            <w:vAlign w:val="center"/>
          </w:tcPr>
          <w:p>
            <w:pPr>
              <w:spacing w:after="0"/>
            </w:pPr>
            <w:r/>
            <w:r>
              <w:rPr>
                <w:rFonts w:ascii="Liberation Sans" w:hAnsi="Liberation Sans"/>
                <w:b/>
                <w:color w:val="FFFFFF"/>
                <w:sz w:val="17"/>
              </w:rPr>
              <w:t>Project interpretation</w:t>
            </w:r>
          </w:p>
        </w:tc>
      </w:tr>
      <w:tr>
        <w:tc>
          <w:tcPr>
            <w:tcW w:type="dxa" w:w="2160"/>
            <w:vAlign w:val="top"/>
          </w:tcPr>
          <w:p>
            <w:pPr>
              <w:spacing w:after="0"/>
            </w:pPr>
            <w:r/>
            <w:r>
              <w:rPr>
                <w:rFonts w:ascii="Liberation Sans" w:hAnsi="Liberation Sans"/>
                <w:b w:val="0"/>
                <w:sz w:val="17"/>
              </w:rPr>
              <w:t>Ward linkage</w:t>
            </w:r>
          </w:p>
        </w:tc>
        <w:tc>
          <w:tcPr>
            <w:tcW w:type="dxa" w:w="4032"/>
            <w:vAlign w:val="top"/>
          </w:tcPr>
          <w:p>
            <w:pPr>
              <w:spacing w:after="0"/>
            </w:pPr>
            <w:r/>
            <w:r>
              <w:rPr>
                <w:rFonts w:ascii="Liberation Sans" w:hAnsi="Liberation Sans"/>
                <w:b w:val="0"/>
                <w:sz w:val="17"/>
              </w:rPr>
              <w:t>Merge groups while minimizing within-cluster variance</w:t>
            </w:r>
          </w:p>
        </w:tc>
        <w:tc>
          <w:tcPr>
            <w:tcW w:type="dxa" w:w="3888"/>
            <w:vAlign w:val="top"/>
          </w:tcPr>
          <w:p>
            <w:pPr>
              <w:spacing w:after="0"/>
            </w:pPr>
            <w:r/>
            <w:r>
              <w:rPr>
                <w:rFonts w:ascii="Liberation Sans" w:hAnsi="Liberation Sans"/>
                <w:b w:val="0"/>
                <w:sz w:val="17"/>
              </w:rPr>
              <w:t>Used for agglomerative hierarchical clustering</w:t>
            </w:r>
          </w:p>
        </w:tc>
      </w:tr>
      <w:tr>
        <w:tc>
          <w:tcPr>
            <w:tcW w:type="dxa" w:w="2160"/>
            <w:vAlign w:val="top"/>
            <w:shd w:fill="F7FAFC"/>
          </w:tcPr>
          <w:p>
            <w:pPr>
              <w:spacing w:after="0"/>
            </w:pPr>
            <w:r/>
            <w:r>
              <w:rPr>
                <w:rFonts w:ascii="Liberation Sans" w:hAnsi="Liberation Sans"/>
                <w:b w:val="0"/>
                <w:sz w:val="17"/>
              </w:rPr>
              <w:t>Dendrogram</w:t>
            </w:r>
          </w:p>
        </w:tc>
        <w:tc>
          <w:tcPr>
            <w:tcW w:type="dxa" w:w="4032"/>
            <w:vAlign w:val="top"/>
            <w:shd w:fill="F7FAFC"/>
          </w:tcPr>
          <w:p>
            <w:pPr>
              <w:spacing w:after="0"/>
            </w:pPr>
            <w:r/>
            <w:r>
              <w:rPr>
                <w:rFonts w:ascii="Liberation Sans" w:hAnsi="Liberation Sans"/>
                <w:b w:val="0"/>
                <w:sz w:val="17"/>
              </w:rPr>
              <w:t>Tree showing how groups merge</w:t>
            </w:r>
          </w:p>
        </w:tc>
        <w:tc>
          <w:tcPr>
            <w:tcW w:type="dxa" w:w="3888"/>
            <w:vAlign w:val="top"/>
            <w:shd w:fill="F7FAFC"/>
          </w:tcPr>
          <w:p>
            <w:pPr>
              <w:spacing w:after="0"/>
            </w:pPr>
            <w:r/>
            <w:r>
              <w:rPr>
                <w:rFonts w:ascii="Liberation Sans" w:hAnsi="Liberation Sans"/>
                <w:b w:val="0"/>
                <w:sz w:val="17"/>
              </w:rPr>
              <w:t>Supported a practical k=3 choice</w:t>
            </w:r>
          </w:p>
        </w:tc>
      </w:tr>
      <w:tr>
        <w:tc>
          <w:tcPr>
            <w:tcW w:type="dxa" w:w="2160"/>
            <w:vAlign w:val="top"/>
          </w:tcPr>
          <w:p>
            <w:pPr>
              <w:spacing w:after="0"/>
            </w:pPr>
            <w:r/>
            <w:r>
              <w:rPr>
                <w:rFonts w:ascii="Liberation Sans" w:hAnsi="Liberation Sans"/>
                <w:b w:val="0"/>
                <w:sz w:val="17"/>
              </w:rPr>
              <w:t>Merge distance</w:t>
            </w:r>
          </w:p>
        </w:tc>
        <w:tc>
          <w:tcPr>
            <w:tcW w:type="dxa" w:w="4032"/>
            <w:vAlign w:val="top"/>
          </w:tcPr>
          <w:p>
            <w:pPr>
              <w:spacing w:after="0"/>
            </w:pPr>
            <w:r/>
            <w:r>
              <w:rPr>
                <w:rFonts w:ascii="Liberation Sans" w:hAnsi="Liberation Sans"/>
                <w:b w:val="0"/>
                <w:sz w:val="17"/>
              </w:rPr>
              <w:t>How different groups are when merged</w:t>
            </w:r>
          </w:p>
        </w:tc>
        <w:tc>
          <w:tcPr>
            <w:tcW w:type="dxa" w:w="3888"/>
            <w:vAlign w:val="top"/>
          </w:tcPr>
          <w:p>
            <w:pPr>
              <w:spacing w:after="0"/>
            </w:pPr>
            <w:r/>
            <w:r>
              <w:rPr>
                <w:rFonts w:ascii="Liberation Sans" w:hAnsi="Liberation Sans"/>
                <w:b w:val="0"/>
                <w:sz w:val="17"/>
              </w:rPr>
              <w:t>Large jump shows a natural cut point</w:t>
            </w:r>
          </w:p>
        </w:tc>
      </w:tr>
      <w:tr>
        <w:tc>
          <w:tcPr>
            <w:tcW w:type="dxa" w:w="2160"/>
            <w:vAlign w:val="top"/>
            <w:shd w:fill="F7FAFC"/>
          </w:tcPr>
          <w:p>
            <w:pPr>
              <w:spacing w:after="0"/>
            </w:pPr>
            <w:r/>
            <w:r>
              <w:rPr>
                <w:rFonts w:ascii="Liberation Sans" w:hAnsi="Liberation Sans"/>
                <w:b w:val="0"/>
                <w:sz w:val="17"/>
              </w:rPr>
              <w:t>Cut threshold</w:t>
            </w:r>
          </w:p>
        </w:tc>
        <w:tc>
          <w:tcPr>
            <w:tcW w:type="dxa" w:w="4032"/>
            <w:vAlign w:val="top"/>
            <w:shd w:fill="F7FAFC"/>
          </w:tcPr>
          <w:p>
            <w:pPr>
              <w:spacing w:after="0"/>
            </w:pPr>
            <w:r/>
            <w:r>
              <w:rPr>
                <w:rFonts w:ascii="Liberation Sans" w:hAnsi="Liberation Sans"/>
                <w:b w:val="0"/>
                <w:sz w:val="17"/>
              </w:rPr>
              <w:t>Height where the dendrogram is cut</w:t>
            </w:r>
          </w:p>
        </w:tc>
        <w:tc>
          <w:tcPr>
            <w:tcW w:type="dxa" w:w="3888"/>
            <w:vAlign w:val="top"/>
            <w:shd w:fill="F7FAFC"/>
          </w:tcPr>
          <w:p>
            <w:pPr>
              <w:spacing w:after="0"/>
            </w:pPr>
            <w:r/>
            <w:r>
              <w:rPr>
                <w:rFonts w:ascii="Liberation Sans" w:hAnsi="Liberation Sans"/>
                <w:b w:val="0"/>
                <w:sz w:val="17"/>
              </w:rPr>
              <w:t>Cut around 27.62 produced 3 clusters</w:t>
            </w:r>
          </w:p>
        </w:tc>
      </w:tr>
    </w:tbl>
    <w:p>
      <w:pPr>
        <w:spacing w:after="100"/>
      </w:pPr>
    </w:p>
    <w:p>
      <w:pPr>
        <w:spacing w:after="100"/>
        <w:jc w:val="center"/>
      </w:pPr>
      <w:r>
        <w:drawing>
          <wp:inline xmlns:a="http://schemas.openxmlformats.org/drawingml/2006/main" xmlns:pic="http://schemas.openxmlformats.org/drawingml/2006/picture">
            <wp:extent cx="5486400" cy="2718209"/>
            <wp:docPr id="1" name="Picture 1"/>
            <wp:cNvGraphicFramePr>
              <a:graphicFrameLocks noChangeAspect="1"/>
            </wp:cNvGraphicFramePr>
            <a:graphic>
              <a:graphicData uri="http://schemas.openxmlformats.org/drawingml/2006/picture">
                <pic:pic>
                  <pic:nvPicPr>
                    <pic:cNvPr id="0" name="image(68).png"/>
                    <pic:cNvPicPr/>
                  </pic:nvPicPr>
                  <pic:blipFill>
                    <a:blip r:embed="rId11"/>
                    <a:stretch>
                      <a:fillRect/>
                    </a:stretch>
                  </pic:blipFill>
                  <pic:spPr>
                    <a:xfrm>
                      <a:off x="0" y="0"/>
                      <a:ext cx="5486400" cy="2718209"/>
                    </a:xfrm>
                    <a:prstGeom prst="rect"/>
                  </pic:spPr>
                </pic:pic>
              </a:graphicData>
            </a:graphic>
          </wp:inline>
        </w:drawing>
      </w:r>
    </w:p>
    <w:p>
      <w:pPr>
        <w:spacing w:before="0" w:after="100"/>
        <w:jc w:val="center"/>
      </w:pPr>
      <w:r>
        <w:rPr>
          <w:i/>
          <w:color w:val="5A5A5A"/>
          <w:sz w:val="17"/>
        </w:rPr>
        <w:t>Dendrogram theory in practice: large merge-distance jump supports k=3.</w:t>
      </w:r>
    </w:p>
    <w:p>
      <w:pPr>
        <w:pStyle w:val="Heading1"/>
      </w:pPr>
      <w:r>
        <w:t>9. Gap Statistic theory</w:t>
      </w:r>
    </w:p>
    <w:p>
      <w:pPr>
        <w:spacing w:after="100"/>
      </w:pPr>
      <w:r>
        <w:t>Gap Statistic compares clustering on real data against clustering on random reference data. If the real clusters are much better than random clusters, the Gap value is larger. In this project, the raw Gap was highest at k=8, but the practical hierarchical choice remained k=3 because the dendrogram and business readability supported it better.</w:t>
      </w:r>
    </w:p>
    <w:p>
      <w:pPr>
        <w:spacing w:after="100"/>
        <w:jc w:val="center"/>
      </w:pPr>
      <w:r>
        <w:drawing>
          <wp:inline xmlns:a="http://schemas.openxmlformats.org/drawingml/2006/main" xmlns:pic="http://schemas.openxmlformats.org/drawingml/2006/picture">
            <wp:extent cx="5486400" cy="2710873"/>
            <wp:docPr id="2" name="Picture 2"/>
            <wp:cNvGraphicFramePr>
              <a:graphicFrameLocks noChangeAspect="1"/>
            </wp:cNvGraphicFramePr>
            <a:graphic>
              <a:graphicData uri="http://schemas.openxmlformats.org/drawingml/2006/picture">
                <pic:pic>
                  <pic:nvPicPr>
                    <pic:cNvPr id="0" name="image(69).png"/>
                    <pic:cNvPicPr/>
                  </pic:nvPicPr>
                  <pic:blipFill>
                    <a:blip r:embed="rId12"/>
                    <a:stretch>
                      <a:fillRect/>
                    </a:stretch>
                  </pic:blipFill>
                  <pic:spPr>
                    <a:xfrm>
                      <a:off x="0" y="0"/>
                      <a:ext cx="5486400" cy="2710873"/>
                    </a:xfrm>
                    <a:prstGeom prst="rect"/>
                  </pic:spPr>
                </pic:pic>
              </a:graphicData>
            </a:graphic>
          </wp:inline>
        </w:drawing>
      </w:r>
    </w:p>
    <w:p>
      <w:pPr>
        <w:spacing w:before="0" w:after="100"/>
        <w:jc w:val="center"/>
      </w:pPr>
      <w:r>
        <w:rPr>
          <w:i/>
          <w:color w:val="5A5A5A"/>
          <w:sz w:val="17"/>
        </w:rPr>
        <w:t>Gap Statistic results with selected practical k=3 marked.</w:t>
      </w:r>
    </w:p>
    <w:p>
      <w:pPr>
        <w:pStyle w:val="Heading1"/>
      </w:pPr>
      <w:r>
        <w:t>10. Evaluation metrics theory</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2160"/>
            <w:shd w:fill="1F4E79"/>
            <w:vAlign w:val="center"/>
          </w:tcPr>
          <w:p>
            <w:pPr>
              <w:spacing w:after="0"/>
            </w:pPr>
            <w:r/>
            <w:r>
              <w:rPr>
                <w:rFonts w:ascii="Liberation Sans" w:hAnsi="Liberation Sans"/>
                <w:b/>
                <w:color w:val="FFFFFF"/>
                <w:sz w:val="17"/>
              </w:rPr>
              <w:t>Metric</w:t>
            </w:r>
          </w:p>
        </w:tc>
        <w:tc>
          <w:tcPr>
            <w:tcW w:type="dxa" w:w="1872"/>
            <w:shd w:fill="1F4E79"/>
            <w:vAlign w:val="center"/>
          </w:tcPr>
          <w:p>
            <w:pPr>
              <w:spacing w:after="0"/>
            </w:pPr>
            <w:r/>
            <w:r>
              <w:rPr>
                <w:rFonts w:ascii="Liberation Sans" w:hAnsi="Liberation Sans"/>
                <w:b/>
                <w:color w:val="FFFFFF"/>
                <w:sz w:val="17"/>
              </w:rPr>
              <w:t>Good direction</w:t>
            </w:r>
          </w:p>
        </w:tc>
        <w:tc>
          <w:tcPr>
            <w:tcW w:type="dxa" w:w="5760"/>
            <w:shd w:fill="1F4E79"/>
            <w:vAlign w:val="center"/>
          </w:tcPr>
          <w:p>
            <w:pPr>
              <w:spacing w:after="0"/>
            </w:pPr>
            <w:r/>
            <w:r>
              <w:rPr>
                <w:rFonts w:ascii="Liberation Sans" w:hAnsi="Liberation Sans"/>
                <w:b/>
                <w:color w:val="FFFFFF"/>
                <w:sz w:val="17"/>
              </w:rPr>
              <w:t>Meaning</w:t>
            </w:r>
          </w:p>
        </w:tc>
      </w:tr>
      <w:tr>
        <w:tc>
          <w:tcPr>
            <w:tcW w:type="dxa" w:w="2160"/>
            <w:vAlign w:val="top"/>
          </w:tcPr>
          <w:p>
            <w:pPr>
              <w:spacing w:after="0"/>
            </w:pPr>
            <w:r/>
            <w:r>
              <w:rPr>
                <w:rFonts w:ascii="Liberation Sans" w:hAnsi="Liberation Sans"/>
                <w:b w:val="0"/>
                <w:sz w:val="17"/>
              </w:rPr>
              <w:t>Silhouette</w:t>
            </w:r>
          </w:p>
        </w:tc>
        <w:tc>
          <w:tcPr>
            <w:tcW w:type="dxa" w:w="1872"/>
            <w:vAlign w:val="top"/>
          </w:tcPr>
          <w:p>
            <w:pPr>
              <w:spacing w:after="0"/>
            </w:pPr>
            <w:r/>
            <w:r>
              <w:rPr>
                <w:rFonts w:ascii="Liberation Sans" w:hAnsi="Liberation Sans"/>
                <w:b w:val="0"/>
                <w:sz w:val="17"/>
              </w:rPr>
              <w:t>Higher is better</w:t>
            </w:r>
          </w:p>
        </w:tc>
        <w:tc>
          <w:tcPr>
            <w:tcW w:type="dxa" w:w="5760"/>
            <w:vAlign w:val="top"/>
          </w:tcPr>
          <w:p>
            <w:pPr>
              <w:spacing w:after="0"/>
            </w:pPr>
            <w:r/>
            <w:r>
              <w:rPr>
                <w:rFonts w:ascii="Liberation Sans" w:hAnsi="Liberation Sans"/>
                <w:b w:val="0"/>
                <w:sz w:val="17"/>
              </w:rPr>
              <w:t>Customers are close to their own cluster and far from other clusters</w:t>
            </w:r>
          </w:p>
        </w:tc>
      </w:tr>
      <w:tr>
        <w:tc>
          <w:tcPr>
            <w:tcW w:type="dxa" w:w="2160"/>
            <w:vAlign w:val="top"/>
            <w:shd w:fill="F7FAFC"/>
          </w:tcPr>
          <w:p>
            <w:pPr>
              <w:spacing w:after="0"/>
            </w:pPr>
            <w:r/>
            <w:r>
              <w:rPr>
                <w:rFonts w:ascii="Liberation Sans" w:hAnsi="Liberation Sans"/>
                <w:b w:val="0"/>
                <w:sz w:val="17"/>
              </w:rPr>
              <w:t>Davies-Bouldin</w:t>
            </w:r>
          </w:p>
        </w:tc>
        <w:tc>
          <w:tcPr>
            <w:tcW w:type="dxa" w:w="1872"/>
            <w:vAlign w:val="top"/>
            <w:shd w:fill="F7FAFC"/>
          </w:tcPr>
          <w:p>
            <w:pPr>
              <w:spacing w:after="0"/>
            </w:pPr>
            <w:r/>
            <w:r>
              <w:rPr>
                <w:rFonts w:ascii="Liberation Sans" w:hAnsi="Liberation Sans"/>
                <w:b w:val="0"/>
                <w:sz w:val="17"/>
              </w:rPr>
              <w:t>Lower is better</w:t>
            </w:r>
          </w:p>
        </w:tc>
        <w:tc>
          <w:tcPr>
            <w:tcW w:type="dxa" w:w="5760"/>
            <w:vAlign w:val="top"/>
            <w:shd w:fill="F7FAFC"/>
          </w:tcPr>
          <w:p>
            <w:pPr>
              <w:spacing w:after="0"/>
            </w:pPr>
            <w:r/>
            <w:r>
              <w:rPr>
                <w:rFonts w:ascii="Liberation Sans" w:hAnsi="Liberation Sans"/>
                <w:b w:val="0"/>
                <w:sz w:val="17"/>
              </w:rPr>
              <w:t>Clusters are compact and not too mixed</w:t>
            </w:r>
          </w:p>
        </w:tc>
      </w:tr>
      <w:tr>
        <w:tc>
          <w:tcPr>
            <w:tcW w:type="dxa" w:w="2160"/>
            <w:vAlign w:val="top"/>
          </w:tcPr>
          <w:p>
            <w:pPr>
              <w:spacing w:after="0"/>
            </w:pPr>
            <w:r/>
            <w:r>
              <w:rPr>
                <w:rFonts w:ascii="Liberation Sans" w:hAnsi="Liberation Sans"/>
                <w:b w:val="0"/>
                <w:sz w:val="17"/>
              </w:rPr>
              <w:t>Calinski-Harabasz</w:t>
            </w:r>
          </w:p>
        </w:tc>
        <w:tc>
          <w:tcPr>
            <w:tcW w:type="dxa" w:w="1872"/>
            <w:vAlign w:val="top"/>
          </w:tcPr>
          <w:p>
            <w:pPr>
              <w:spacing w:after="0"/>
            </w:pPr>
            <w:r/>
            <w:r>
              <w:rPr>
                <w:rFonts w:ascii="Liberation Sans" w:hAnsi="Liberation Sans"/>
                <w:b w:val="0"/>
                <w:sz w:val="17"/>
              </w:rPr>
              <w:t>Higher is better</w:t>
            </w:r>
          </w:p>
        </w:tc>
        <w:tc>
          <w:tcPr>
            <w:tcW w:type="dxa" w:w="5760"/>
            <w:vAlign w:val="top"/>
          </w:tcPr>
          <w:p>
            <w:pPr>
              <w:spacing w:after="0"/>
            </w:pPr>
            <w:r/>
            <w:r>
              <w:rPr>
                <w:rFonts w:ascii="Liberation Sans" w:hAnsi="Liberation Sans"/>
                <w:b w:val="0"/>
                <w:sz w:val="17"/>
              </w:rPr>
              <w:t>Overall cluster separation is strong</w:t>
            </w:r>
          </w:p>
        </w:tc>
      </w:tr>
      <w:tr>
        <w:tc>
          <w:tcPr>
            <w:tcW w:type="dxa" w:w="2160"/>
            <w:vAlign w:val="top"/>
            <w:shd w:fill="F7FAFC"/>
          </w:tcPr>
          <w:p>
            <w:pPr>
              <w:spacing w:after="0"/>
            </w:pPr>
            <w:r/>
            <w:r>
              <w:rPr>
                <w:rFonts w:ascii="Liberation Sans" w:hAnsi="Liberation Sans"/>
                <w:b w:val="0"/>
                <w:sz w:val="17"/>
              </w:rPr>
              <w:t>Inertia</w:t>
            </w:r>
          </w:p>
        </w:tc>
        <w:tc>
          <w:tcPr>
            <w:tcW w:type="dxa" w:w="1872"/>
            <w:vAlign w:val="top"/>
            <w:shd w:fill="F7FAFC"/>
          </w:tcPr>
          <w:p>
            <w:pPr>
              <w:spacing w:after="0"/>
            </w:pPr>
            <w:r/>
            <w:r>
              <w:rPr>
                <w:rFonts w:ascii="Liberation Sans" w:hAnsi="Liberation Sans"/>
                <w:b w:val="0"/>
                <w:sz w:val="17"/>
              </w:rPr>
              <w:t>Lower with caution</w:t>
            </w:r>
          </w:p>
        </w:tc>
        <w:tc>
          <w:tcPr>
            <w:tcW w:type="dxa" w:w="5760"/>
            <w:vAlign w:val="top"/>
            <w:shd w:fill="F7FAFC"/>
          </w:tcPr>
          <w:p>
            <w:pPr>
              <w:spacing w:after="0"/>
            </w:pPr>
            <w:r/>
            <w:r>
              <w:rPr>
                <w:rFonts w:ascii="Liberation Sans" w:hAnsi="Liberation Sans"/>
                <w:b w:val="0"/>
                <w:sz w:val="17"/>
              </w:rPr>
              <w:t>K-Means within-cluster spread; always decreases as k increases</w:t>
            </w:r>
          </w:p>
        </w:tc>
      </w:tr>
    </w:tbl>
    <w:p>
      <w:pPr>
        <w:spacing w:after="100"/>
      </w:pPr>
    </w:p>
    <w:p>
      <w:pPr>
        <w:pStyle w:val="Heading1"/>
      </w:pPr>
      <w:r>
        <w:t>11. Business-rule theory</w:t>
      </w:r>
    </w:p>
    <w:p>
      <w:pPr>
        <w:spacing w:after="100"/>
      </w:pPr>
      <w:r>
        <w:t>Models find patterns, but business teams act on meaningful labels. Constraint-based segments keep the model result but override special cases using business logic, such as VIP outliers and inactive low-frequency customers.</w:t>
      </w:r>
    </w:p>
    <w:p>
      <w:pPr>
        <w:pStyle w:val="Heading1"/>
      </w:pPr>
      <w:r>
        <w:t>12. Method selection guide</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3600"/>
            <w:shd w:fill="1F4E79"/>
            <w:vAlign w:val="center"/>
          </w:tcPr>
          <w:p>
            <w:pPr>
              <w:spacing w:after="0"/>
            </w:pPr>
            <w:r/>
            <w:r>
              <w:rPr>
                <w:rFonts w:ascii="Liberation Sans" w:hAnsi="Liberation Sans"/>
                <w:b/>
                <w:color w:val="FFFFFF"/>
                <w:sz w:val="17"/>
              </w:rPr>
              <w:t>Business question</w:t>
            </w:r>
          </w:p>
        </w:tc>
        <w:tc>
          <w:tcPr>
            <w:tcW w:type="dxa" w:w="2592"/>
            <w:shd w:fill="1F4E79"/>
            <w:vAlign w:val="center"/>
          </w:tcPr>
          <w:p>
            <w:pPr>
              <w:spacing w:after="0"/>
            </w:pPr>
            <w:r/>
            <w:r>
              <w:rPr>
                <w:rFonts w:ascii="Liberation Sans" w:hAnsi="Liberation Sans"/>
                <w:b/>
                <w:color w:val="FFFFFF"/>
                <w:sz w:val="17"/>
              </w:rPr>
              <w:t>Best method</w:t>
            </w:r>
          </w:p>
        </w:tc>
        <w:tc>
          <w:tcPr>
            <w:tcW w:type="dxa" w:w="3888"/>
            <w:shd w:fill="1F4E79"/>
            <w:vAlign w:val="center"/>
          </w:tcPr>
          <w:p>
            <w:pPr>
              <w:spacing w:after="0"/>
            </w:pPr>
            <w:r/>
            <w:r>
              <w:rPr>
                <w:rFonts w:ascii="Liberation Sans" w:hAnsi="Liberation Sans"/>
                <w:b/>
                <w:color w:val="FFFFFF"/>
                <w:sz w:val="17"/>
              </w:rPr>
              <w:t>Reason</w:t>
            </w:r>
          </w:p>
        </w:tc>
      </w:tr>
      <w:tr>
        <w:tc>
          <w:tcPr>
            <w:tcW w:type="dxa" w:w="3600"/>
            <w:vAlign w:val="top"/>
          </w:tcPr>
          <w:p>
            <w:pPr>
              <w:spacing w:after="0"/>
            </w:pPr>
            <w:r/>
            <w:r>
              <w:rPr>
                <w:rFonts w:ascii="Liberation Sans" w:hAnsi="Liberation Sans"/>
                <w:b w:val="0"/>
                <w:sz w:val="17"/>
              </w:rPr>
              <w:t>Can we create stable customer groups?</w:t>
            </w:r>
          </w:p>
        </w:tc>
        <w:tc>
          <w:tcPr>
            <w:tcW w:type="dxa" w:w="2592"/>
            <w:vAlign w:val="top"/>
          </w:tcPr>
          <w:p>
            <w:pPr>
              <w:spacing w:after="0"/>
            </w:pPr>
            <w:r/>
            <w:r>
              <w:rPr>
                <w:rFonts w:ascii="Liberation Sans" w:hAnsi="Liberation Sans"/>
                <w:b w:val="0"/>
                <w:sz w:val="17"/>
              </w:rPr>
              <w:t>K-Means</w:t>
            </w:r>
          </w:p>
        </w:tc>
        <w:tc>
          <w:tcPr>
            <w:tcW w:type="dxa" w:w="3888"/>
            <w:vAlign w:val="top"/>
          </w:tcPr>
          <w:p>
            <w:pPr>
              <w:spacing w:after="0"/>
            </w:pPr>
            <w:r/>
            <w:r>
              <w:rPr>
                <w:rFonts w:ascii="Liberation Sans" w:hAnsi="Liberation Sans"/>
                <w:b w:val="0"/>
                <w:sz w:val="17"/>
              </w:rPr>
              <w:t>Simple, explainable and campaign-friendly</w:t>
            </w:r>
          </w:p>
        </w:tc>
      </w:tr>
      <w:tr>
        <w:tc>
          <w:tcPr>
            <w:tcW w:type="dxa" w:w="3600"/>
            <w:vAlign w:val="top"/>
            <w:shd w:fill="F7FAFC"/>
          </w:tcPr>
          <w:p>
            <w:pPr>
              <w:spacing w:after="0"/>
            </w:pPr>
            <w:r/>
            <w:r>
              <w:rPr>
                <w:rFonts w:ascii="Liberation Sans" w:hAnsi="Liberation Sans"/>
                <w:b w:val="0"/>
                <w:sz w:val="17"/>
              </w:rPr>
              <w:t>Which customers are unusual?</w:t>
            </w:r>
          </w:p>
        </w:tc>
        <w:tc>
          <w:tcPr>
            <w:tcW w:type="dxa" w:w="2592"/>
            <w:vAlign w:val="top"/>
            <w:shd w:fill="F7FAFC"/>
          </w:tcPr>
          <w:p>
            <w:pPr>
              <w:spacing w:after="0"/>
            </w:pPr>
            <w:r/>
            <w:r>
              <w:rPr>
                <w:rFonts w:ascii="Liberation Sans" w:hAnsi="Liberation Sans"/>
                <w:b w:val="0"/>
                <w:sz w:val="17"/>
              </w:rPr>
              <w:t>DBSCAN + outlier flags</w:t>
            </w:r>
          </w:p>
        </w:tc>
        <w:tc>
          <w:tcPr>
            <w:tcW w:type="dxa" w:w="3888"/>
            <w:vAlign w:val="top"/>
            <w:shd w:fill="F7FAFC"/>
          </w:tcPr>
          <w:p>
            <w:pPr>
              <w:spacing w:after="0"/>
            </w:pPr>
            <w:r/>
            <w:r>
              <w:rPr>
                <w:rFonts w:ascii="Liberation Sans" w:hAnsi="Liberation Sans"/>
                <w:b w:val="0"/>
                <w:sz w:val="17"/>
              </w:rPr>
              <w:t>Keeps noise and extreme customers visible</w:t>
            </w:r>
          </w:p>
        </w:tc>
      </w:tr>
      <w:tr>
        <w:tc>
          <w:tcPr>
            <w:tcW w:type="dxa" w:w="3600"/>
            <w:vAlign w:val="top"/>
          </w:tcPr>
          <w:p>
            <w:pPr>
              <w:spacing w:after="0"/>
            </w:pPr>
            <w:r/>
            <w:r>
              <w:rPr>
                <w:rFonts w:ascii="Liberation Sans" w:hAnsi="Liberation Sans"/>
                <w:b w:val="0"/>
                <w:sz w:val="17"/>
              </w:rPr>
              <w:t>Do clusters have hierarchy?</w:t>
            </w:r>
          </w:p>
        </w:tc>
        <w:tc>
          <w:tcPr>
            <w:tcW w:type="dxa" w:w="2592"/>
            <w:vAlign w:val="top"/>
          </w:tcPr>
          <w:p>
            <w:pPr>
              <w:spacing w:after="0"/>
            </w:pPr>
            <w:r/>
            <w:r>
              <w:rPr>
                <w:rFonts w:ascii="Liberation Sans" w:hAnsi="Liberation Sans"/>
                <w:b w:val="0"/>
                <w:sz w:val="17"/>
              </w:rPr>
              <w:t>Ward hierarchical clustering</w:t>
            </w:r>
          </w:p>
        </w:tc>
        <w:tc>
          <w:tcPr>
            <w:tcW w:type="dxa" w:w="3888"/>
            <w:vAlign w:val="top"/>
          </w:tcPr>
          <w:p>
            <w:pPr>
              <w:spacing w:after="0"/>
            </w:pPr>
            <w:r/>
            <w:r>
              <w:rPr>
                <w:rFonts w:ascii="Liberation Sans" w:hAnsi="Liberation Sans"/>
                <w:b w:val="0"/>
                <w:sz w:val="17"/>
              </w:rPr>
              <w:t>Shows merge structure and natural splits</w:t>
            </w:r>
          </w:p>
        </w:tc>
      </w:tr>
      <w:tr>
        <w:tc>
          <w:tcPr>
            <w:tcW w:type="dxa" w:w="3600"/>
            <w:vAlign w:val="top"/>
            <w:shd w:fill="F7FAFC"/>
          </w:tcPr>
          <w:p>
            <w:pPr>
              <w:spacing w:after="0"/>
            </w:pPr>
            <w:r/>
            <w:r>
              <w:rPr>
                <w:rFonts w:ascii="Liberation Sans" w:hAnsi="Liberation Sans"/>
                <w:b w:val="0"/>
                <w:sz w:val="17"/>
              </w:rPr>
              <w:t>How many clusters should we test?</w:t>
            </w:r>
          </w:p>
        </w:tc>
        <w:tc>
          <w:tcPr>
            <w:tcW w:type="dxa" w:w="2592"/>
            <w:vAlign w:val="top"/>
            <w:shd w:fill="F7FAFC"/>
          </w:tcPr>
          <w:p>
            <w:pPr>
              <w:spacing w:after="0"/>
            </w:pPr>
            <w:r/>
            <w:r>
              <w:rPr>
                <w:rFonts w:ascii="Liberation Sans" w:hAnsi="Liberation Sans"/>
                <w:b w:val="0"/>
                <w:sz w:val="17"/>
              </w:rPr>
              <w:t>Elbow + Gap + dendrogram</w:t>
            </w:r>
          </w:p>
        </w:tc>
        <w:tc>
          <w:tcPr>
            <w:tcW w:type="dxa" w:w="3888"/>
            <w:vAlign w:val="top"/>
            <w:shd w:fill="F7FAFC"/>
          </w:tcPr>
          <w:p>
            <w:pPr>
              <w:spacing w:after="0"/>
            </w:pPr>
            <w:r/>
            <w:r>
              <w:rPr>
                <w:rFonts w:ascii="Liberation Sans" w:hAnsi="Liberation Sans"/>
                <w:b w:val="0"/>
                <w:sz w:val="17"/>
              </w:rPr>
              <w:t>Combines multiple diagnostics</w:t>
            </w:r>
          </w:p>
        </w:tc>
      </w:tr>
      <w:tr>
        <w:tc>
          <w:tcPr>
            <w:tcW w:type="dxa" w:w="3600"/>
            <w:vAlign w:val="top"/>
          </w:tcPr>
          <w:p>
            <w:pPr>
              <w:spacing w:after="0"/>
            </w:pPr>
            <w:r/>
            <w:r>
              <w:rPr>
                <w:rFonts w:ascii="Liberation Sans" w:hAnsi="Liberation Sans"/>
                <w:b w:val="0"/>
                <w:sz w:val="17"/>
              </w:rPr>
              <w:t>Where is customer density strongest?</w:t>
            </w:r>
          </w:p>
        </w:tc>
        <w:tc>
          <w:tcPr>
            <w:tcW w:type="dxa" w:w="2592"/>
            <w:vAlign w:val="top"/>
          </w:tcPr>
          <w:p>
            <w:pPr>
              <w:spacing w:after="0"/>
            </w:pPr>
            <w:r/>
            <w:r>
              <w:rPr>
                <w:rFonts w:ascii="Liberation Sans" w:hAnsi="Liberation Sans"/>
                <w:b w:val="0"/>
                <w:sz w:val="17"/>
              </w:rPr>
              <w:t>Grid, Wave and KDE</w:t>
            </w:r>
          </w:p>
        </w:tc>
        <w:tc>
          <w:tcPr>
            <w:tcW w:type="dxa" w:w="3888"/>
            <w:vAlign w:val="top"/>
          </w:tcPr>
          <w:p>
            <w:pPr>
              <w:spacing w:after="0"/>
            </w:pPr>
            <w:r/>
            <w:r>
              <w:rPr>
                <w:rFonts w:ascii="Liberation Sans" w:hAnsi="Liberation Sans"/>
                <w:b w:val="0"/>
                <w:sz w:val="17"/>
              </w:rPr>
              <w:t>Explains concentration areas visually</w:t>
            </w:r>
          </w:p>
        </w:tc>
      </w:tr>
      <w:tr>
        <w:tc>
          <w:tcPr>
            <w:tcW w:type="dxa" w:w="3600"/>
            <w:vAlign w:val="top"/>
            <w:shd w:fill="F7FAFC"/>
          </w:tcPr>
          <w:p>
            <w:pPr>
              <w:spacing w:after="0"/>
            </w:pPr>
            <w:r/>
            <w:r>
              <w:rPr>
                <w:rFonts w:ascii="Liberation Sans" w:hAnsi="Liberation Sans"/>
                <w:b w:val="0"/>
                <w:sz w:val="17"/>
              </w:rPr>
              <w:t>How do we make clusters actionable?</w:t>
            </w:r>
          </w:p>
        </w:tc>
        <w:tc>
          <w:tcPr>
            <w:tcW w:type="dxa" w:w="2592"/>
            <w:vAlign w:val="top"/>
            <w:shd w:fill="F7FAFC"/>
          </w:tcPr>
          <w:p>
            <w:pPr>
              <w:spacing w:after="0"/>
            </w:pPr>
            <w:r/>
            <w:r>
              <w:rPr>
                <w:rFonts w:ascii="Liberation Sans" w:hAnsi="Liberation Sans"/>
                <w:b w:val="0"/>
                <w:sz w:val="17"/>
              </w:rPr>
              <w:t>Constraint rules</w:t>
            </w:r>
          </w:p>
        </w:tc>
        <w:tc>
          <w:tcPr>
            <w:tcW w:type="dxa" w:w="3888"/>
            <w:vAlign w:val="top"/>
            <w:shd w:fill="F7FAFC"/>
          </w:tcPr>
          <w:p>
            <w:pPr>
              <w:spacing w:after="0"/>
            </w:pPr>
            <w:r/>
            <w:r>
              <w:rPr>
                <w:rFonts w:ascii="Liberation Sans" w:hAnsi="Liberation Sans"/>
                <w:b w:val="0"/>
                <w:sz w:val="17"/>
              </w:rPr>
              <w:t>Adds business logic on top of model labels</w:t>
            </w:r>
          </w:p>
        </w:tc>
      </w:tr>
    </w:tbl>
    <w:p>
      <w:pPr>
        <w:spacing w:after="10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Prepared project documentation | Online Retail clustering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Learning Day 8 — Clustering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Liberation Sans" w:hAnsi="Liberation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Liberation Sans" w:hAnsi="Liberation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