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48"/>
          <w:szCs w:val="48"/>
        </w:rPr>
        <w:t xml:space="preserve">Helix AI: A Post-Translation Validation Architecture for Safe, Autonomous Legacy Code Modernization</w:t>
      </w:r>
    </w:p>
    <w:p>
      <w:pPr>
        <w:spacing w:after="80"/>
      </w:pPr>
      <w:r>
        <w:t xml:space="preserve"/>
      </w:r>
    </w:p>
    <w:p>
      <w:pPr>
        <w:spacing w:after="40"/>
        <w:jc w:val="center"/>
      </w:pPr>
      <w:r>
        <w:rPr>
          <w:rFonts w:ascii="Times New Roman" w:cs="Times New Roman" w:eastAsia="Times New Roman" w:hAnsi="Times New Roman"/>
          <w:b/>
          <w:bCs/>
          <w:sz w:val="24"/>
          <w:szCs w:val="24"/>
        </w:rPr>
        <w:t xml:space="preserve">Rutwik Bhondave, Amit Jagtap, Abhishek Gadilkar, Priyanshu Nalawade</w:t>
      </w:r>
    </w:p>
    <w:p>
      <w:pPr>
        <w:spacing w:after="40"/>
        <w:jc w:val="center"/>
      </w:pPr>
      <w:r>
        <w:rPr>
          <w:rFonts w:ascii="Times New Roman" w:cs="Times New Roman" w:eastAsia="Times New Roman" w:hAnsi="Times New Roman"/>
          <w:sz w:val="18"/>
          <w:szCs w:val="18"/>
        </w:rPr>
        <w:t xml:space="preserve">Dept. of Computer Engineering, Trinity College of Engineering and Research, Pune, India</w:t>
      </w:r>
    </w:p>
    <w:p>
      <w:pPr>
        <w:spacing w:after="40"/>
        <w:jc w:val="center"/>
      </w:pPr>
      <w:r>
        <w:rPr>
          <w:rFonts w:ascii="Times New Roman" w:cs="Times New Roman" w:eastAsia="Times New Roman" w:hAnsi="Times New Roman"/>
          <w:sz w:val="18"/>
          <w:szCs w:val="18"/>
        </w:rPr>
        <w:t xml:space="preserve">rutuvikbhondave9339@gmail.com | amitjagtap519@gmail.com | abhigadilkar2002@gmail.com | priyanshunalawade62@gmail.com</w:t>
      </w:r>
    </w:p>
    <w:p>
      <w:pPr>
        <w:spacing w:after="60"/>
      </w:pPr>
      <w:r>
        <w:t xml:space="preserve"/>
      </w:r>
    </w:p>
    <w:p>
      <w:pPr>
        <w:spacing w:after="40"/>
        <w:jc w:val="center"/>
      </w:pPr>
      <w:r>
        <w:rPr>
          <w:rFonts w:ascii="Times New Roman" w:cs="Times New Roman" w:eastAsia="Times New Roman" w:hAnsi="Times New Roman"/>
          <w:b/>
          <w:bCs/>
          <w:sz w:val="24"/>
          <w:szCs w:val="24"/>
        </w:rPr>
        <w:t xml:space="preserve">Snehal Kulkarni (Guide), Rupali Mhaske (Co-Guide)</w:t>
      </w:r>
    </w:p>
    <w:p>
      <w:pPr>
        <w:spacing w:after="160"/>
        <w:jc w:val="center"/>
      </w:pPr>
      <w:r>
        <w:rPr>
          <w:rFonts w:ascii="Times New Roman" w:cs="Times New Roman" w:eastAsia="Times New Roman" w:hAnsi="Times New Roman"/>
          <w:sz w:val="18"/>
          <w:szCs w:val="18"/>
        </w:rPr>
        <w:t xml:space="preserve">Trinity College of Engineering and Research, Pune, India  |  snehalkulkarni.tcoer@kjei.edu.in  |  rupalimaske.tcoer@kjei.edu.in</w:t>
      </w:r>
    </w:p>
    <w:p>
      <w:pPr>
        <w:spacing w:after="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Aging source code, often designated as "legacy code," represents a significant operational encumbrance for enterprises worldwide. As technological advancement accelerates, software authored even a decade ago becomes increasingly cryptic, prohibitively costly to maintain, and progressively susceptible to security vulnerabilities. Conventional static analysis utilities can identify code quality deficiencies but are fundamentally incapable of accurately modernizing obsolete language constructs. A representative failure case is the crash of contemporary AST-based parsers when confronted with Python 1.5 syntax, whose grammatical structure has undergone fundamental transformation. This paper presents Helix AI, a fully autonomous intelligent modernization platform that harnesses a domain-adapted large language model (LLM) to perform end-to-end translation of deprecated code into compliant, idiomatic Python 3.12 without human intervention. To address the well-documented phenomenon of AI hallucination, the system incorporates a Post-Translation Validation Architecture that deliberately separates the permissive, context-aware translation stage from a deterministic syntactic verification gate applied exclusively to the output. The pipeline is powered by a coordinated ensemble of four specialized AI agents — Analyzer, Planner, Coder, and Critic — operating within a cyclical validation loop. A cloud-accelerated generation pipeline constructed a proprietary 5,000-entry training corpus, and the complete backend is surfaced through an intuitive React-based web application.</w:t>
      </w:r>
    </w:p>
    <w:p>
      <w:pPr>
        <w:spacing w:after="16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Automated refactoring, AI-assisted programming, behavior preservation, validation pipeline, Python code quality, autonomous agents.</w:t>
      </w:r>
    </w:p>
    <w:p>
      <w:pPr>
        <w:sectPr>
          <w:type w:val="continuous"/>
          <w:pgSz w:w="12240" w:h="15840" w:orient="portrait"/>
          <w:pgMar w:top="1080" w:right="900" w:bottom="1440" w:left="900" w:header="708" w:footer="708" w:gutter="0"/>
          <w:pgNumType/>
          <w:cols w:num="1"/>
          <w:docGrid w:linePitch="360"/>
        </w:sectPr>
      </w:pPr>
    </w:p>
    <w:p>
      <w:pPr>
        <w:spacing w:before="160" w:after="80"/>
        <w:jc w:val="center"/>
      </w:pPr>
      <w:r>
        <w:rPr>
          <w:rFonts w:ascii="Times New Roman" w:cs="Times New Roman" w:eastAsia="Times New Roman" w:hAnsi="Times New Roman"/>
          <w:b/>
          <w:bCs/>
          <w:sz w:val="20"/>
          <w:szCs w:val="20"/>
        </w:rPr>
        <w:t xml:space="preserve">I. INTRODUCTION</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Programming languages evolve continuously; their syntax, semantics, and idiomatic conventions shift with each successive release. Large organizations consequently find themselves reliant on software codebases authored 10, 15, or even 20 years prior—a condition the industry classifies as "technical debt." The task of bringing such systems into alignment with contemporary standards, commonly termed refactoring, demands extraordinary developer effort and carries high regression risk. A prototypical example is the Python 2-to-Python 3 migration, where fundamental syntactic divergences—such as the print statement becoming a function—render the codebases mutually incompatible.</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Economic Impact of Accumulated Technical Debt</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Enterprise software ecosystems accumulate technical debt as a by-product of compressed development schedules, shifting business requirements, and inadequate maintenance investment. In Python-centric environments, empirical studies indicate that more than 37% of functions surpass recommended cyclomatic complexity thresholds, while linting violations and dormant code segments are nearly universal. Manual remediation consumes an estimated 40% of developer bandwidth in mature codebases, catalyzing research into automated refactoring systems capable of restructuring code without altering observable behavior [1].</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Deficiencies of Conventional Static Analysis</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Established frameworks such as Flake8, Pylint, and Black operate by constructing an Abstract Syntax Tree (AST)—a formal graph-based representation of every syntactic token in a source file. This strategy fails catastrophically with legacy syntax: presenting Python 1.5-era code to a modern AST parser triggers an immediate exception, as the tool is entirely unequipped to interpret deprecated constructs. The situation is analogous to requiring a fluent speaker of contemporary English to proofread a manuscript composed in classical Latin.</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Promise and Peril of Large Language Models</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Contemporary LLMs such as Llama 3 and GPT-4 read and interpret source code analogously to a human expert—tolerating syntactic ambiguity and inferring programmer intent. However, they carry a critical risk: generating plausible-sounding yet factually or syntactically incorrect output, universally termed hallucination. In software engineering contexts, this flaw is potentially catastrophic. A financial institution that delegates code migration to an unguarded LLM risks introducing subtle defects that destabilize production systems or incur significant fiscal loss. Deploying raw LLM inference for enterprise code transformation without robust verification constitutes unsound engineering practice.</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The Helix AI Solution Framework</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This paper presents Helix AI—a rigorously engineered, end-to-end modernization pipeline built to address legacy migration safely and at scale. The system encompasses four sequential development phases:</w:t>
      </w:r>
    </w:p>
    <w:p>
      <w:pPr>
        <w:pStyle w:val="ListParagraph"/>
        <w:numPr>
          <w:ilvl w:val="0"/>
          <w:numId w:val="2"/>
        </w:numPr>
        <w:spacing w:after="60"/>
      </w:pPr>
      <w:r>
        <w:rPr>
          <w:rFonts w:ascii="Times New Roman" w:cs="Times New Roman" w:eastAsia="Times New Roman" w:hAnsi="Times New Roman"/>
          <w:sz w:val="20"/>
          <w:szCs w:val="20"/>
        </w:rPr>
        <w:t xml:space="preserve">Phase 1 — Foundation: Configuring the base Llama-3 model for code-centric fine-tuning.</w:t>
      </w:r>
    </w:p>
    <w:p>
      <w:pPr>
        <w:pStyle w:val="ListParagraph"/>
        <w:numPr>
          <w:ilvl w:val="0"/>
          <w:numId w:val="2"/>
        </w:numPr>
        <w:spacing w:after="60"/>
      </w:pPr>
      <w:r>
        <w:rPr>
          <w:rFonts w:ascii="Times New Roman" w:cs="Times New Roman" w:eastAsia="Times New Roman" w:hAnsi="Times New Roman"/>
          <w:sz w:val="20"/>
          <w:szCs w:val="20"/>
        </w:rPr>
        <w:t xml:space="preserve">Phase 2 — Data &amp; Training: Generating 5,000 legacy-to-modern transformation pairs and fine-tuning the model via LoRA on commodity hardware.</w:t>
      </w:r>
    </w:p>
    <w:p>
      <w:pPr>
        <w:pStyle w:val="ListParagraph"/>
        <w:numPr>
          <w:ilvl w:val="0"/>
          <w:numId w:val="2"/>
        </w:numPr>
        <w:spacing w:after="60"/>
      </w:pPr>
      <w:r>
        <w:rPr>
          <w:rFonts w:ascii="Times New Roman" w:cs="Times New Roman" w:eastAsia="Times New Roman" w:hAnsi="Times New Roman"/>
          <w:sz w:val="20"/>
          <w:szCs w:val="20"/>
        </w:rPr>
        <w:t xml:space="preserve">Phase 3 — Safe Backend Architecture: Assembling a multi-agent deliberation system that produces, scrutinizes, and formally validates translated code.</w:t>
      </w:r>
    </w:p>
    <w:p>
      <w:pPr>
        <w:pStyle w:val="ListParagraph"/>
        <w:numPr>
          <w:ilvl w:val="0"/>
          <w:numId w:val="2"/>
        </w:numPr>
        <w:spacing w:after="60"/>
      </w:pPr>
      <w:r>
        <w:rPr>
          <w:rFonts w:ascii="Times New Roman" w:cs="Times New Roman" w:eastAsia="Times New Roman" w:hAnsi="Times New Roman"/>
          <w:sz w:val="20"/>
          <w:szCs w:val="20"/>
        </w:rPr>
        <w:t xml:space="preserve">Phase 4 — User Interface: Delivering the pipeline through a real-time React web application.</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II. SYSTEM ARCHITECTURE</w:t>
      </w:r>
    </w:p>
    <w:p>
      <w:pPr>
        <w:spacing w:after="100" w:before="100"/>
        <w:jc w:val="center"/>
      </w:pPr>
      <w:r>
        <w:drawing>
          <wp:inline distT="0" distB="0" distL="0" distR="0">
            <wp:extent cx="3238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38500" cy="2181225"/>
                    </a:xfrm>
                    <a:prstGeom prst="rect">
                      <a:avLst/>
                    </a:prstGeom>
                  </pic:spPr>
                </pic:pic>
              </a:graphicData>
            </a:graphic>
          </wp:inline>
        </w:drawing>
      </w:r>
    </w:p>
    <w:p>
      <w:pPr>
        <w:spacing w:after="80" w:before="0" w:line="240"/>
        <w:jc w:val="center"/>
      </w:pPr>
      <w:r>
        <w:rPr>
          <w:rFonts w:ascii="Times New Roman" w:cs="Times New Roman" w:eastAsia="Times New Roman" w:hAnsi="Times New Roman"/>
          <w:b w:val="false"/>
          <w:bCs w:val="false"/>
          <w:i w:val="false"/>
          <w:iCs w:val="false"/>
          <w:caps w:val="false"/>
          <w:sz w:val="18"/>
          <w:szCs w:val="18"/>
        </w:rPr>
        <w:t xml:space="preserve">Fig. 1. Helix AI system architecture overview.</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III. COMPETITOR ANALYSIS AND RELATED WORK</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Understanding Helix AI's contribution requires situating it within the landscape of existing tools and identifying precisely where those alternatives fail to solve legacy code modernization reliably.</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Traditional Complexity Analyzers (e.g., SonarQube)</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Metric-driven platforms such as SonarQube assess code health by quantifying cyclomatic complexity, nesting depth, and duplication ratios. While effective at identifying problematic regions, they provide no autonomous remediation mechanism—a human engineer must interpret every finding and implement each correction manually. Compounding this limitation, such tools remain entirely incapable of processing code that predates their parser specifications [3].</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Embedding-Based Code Retrieval (e.g., CodeBERT)</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Microsoft's CodeBERT enabled natural-language-driven semantic search across large code repositories. A developer may query it using descriptive English phrases to locate specific functional patterns. However, CodeBERT is fundamentally a retrieval and embedding model; its architecture is oriented toward understanding and indexing existing code, not synthesizing or rewriting it. It provides no solution to the modernization challenge [2].</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General-Purpose AI Assistants (e.g., ChatGPT-4, Copilot)</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Broad-purpose models such as GPT-4 and GitHub Copilot demonstrate impressive generative coding ability in constrained settings. Nonetheless, both are deployed as single-shot generators: they produce output in isolation with no integrated self-verification or regression testing. When transforming hundreds of lines of legacy code, these systems may silently omit critical logic or corrupt business rules—and human developers bear full responsibility for detection and correction.</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Superiority of Multi-Agent Pipelines</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Emerging research demonstrates that assigning distinct functional roles to separate model instances and compelling those instances to cross-examine each other's outputs yields materially superior results compared to single-model approaches [7][8]. Helix AI operationalizes this principle through the LangGraph orchestration framework. The comparative advantage is quantified as follows:</w:t>
      </w:r>
    </w:p>
    <w:p>
      <w:pPr>
        <w:pStyle w:val="ListParagraph"/>
        <w:numPr>
          <w:ilvl w:val="0"/>
          <w:numId w:val="3"/>
        </w:numPr>
        <w:spacing w:after="60"/>
      </w:pPr>
      <w:r>
        <w:rPr>
          <w:rFonts w:ascii="Times New Roman" w:cs="Times New Roman" w:eastAsia="Times New Roman" w:hAnsi="Times New Roman"/>
          <w:sz w:val="20"/>
          <w:szCs w:val="20"/>
        </w:rPr>
        <w:t xml:space="preserve">Legacy static checkers: 0% success rate on pre-2000 Python (parser crash).</w:t>
      </w:r>
    </w:p>
    <w:p>
      <w:pPr>
        <w:pStyle w:val="ListParagraph"/>
        <w:numPr>
          <w:ilvl w:val="0"/>
          <w:numId w:val="3"/>
        </w:numPr>
        <w:spacing w:after="60"/>
      </w:pPr>
      <w:r>
        <w:rPr>
          <w:rFonts w:ascii="Times New Roman" w:cs="Times New Roman" w:eastAsia="Times New Roman" w:hAnsi="Times New Roman"/>
          <w:sz w:val="20"/>
          <w:szCs w:val="20"/>
        </w:rPr>
        <w:t xml:space="preserve">General-purpose LLM chatbots: ~68% success rate (hallucinations produce non-functional output in ~32% of cases).</w:t>
      </w:r>
    </w:p>
    <w:p>
      <w:pPr>
        <w:pStyle w:val="ListParagraph"/>
        <w:numPr>
          <w:ilvl w:val="0"/>
          <w:numId w:val="3"/>
        </w:numPr>
        <w:spacing w:after="60"/>
      </w:pPr>
      <w:r>
        <w:rPr>
          <w:rFonts w:ascii="Times New Roman" w:cs="Times New Roman" w:eastAsia="Times New Roman" w:hAnsi="Times New Roman"/>
          <w:sz w:val="20"/>
          <w:szCs w:val="20"/>
        </w:rPr>
        <w:t xml:space="preserve">Helix AI pipeline: 100% structurally valid output (enforced by the deterministic Exit Wall).</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IV. DATA CONSTRUCTION AND MODEL ADAPTATION</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The foundational obstacle limiting legacy code translation is the near-total absence of domain-specific training data. An LLM is, at its essence, a statistical prediction engine: performance on a specialized task is proportional to the quality and quantity of relevant training examples.</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Scarcity of Legacy-to-Modern Transformation Data</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Publicly available code datasets—including The Stack and CodeSearchNet—are predominantly composed of modern, syntactically valid code. No substantial open-source corpus maps Python 1.x or 2.x constructs to their idiomatic Python 3.x equivalents, rendering direct fine-tuning infeasible without a proprietary dataset constructed from the ground up.</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Synthetic Dataset Generation via Cloud Inference</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A programmatic synthesis pipeline was developed using the Groq Inference API to generate 5,000 unique, high-fidelity transformation examples. Each example was generated with explicit constraints eliciting authentically outdated patterns: mandatory use of the deprecated has_key() method, use of the obsolete &lt;&gt; operator, and construction of unnecessarily verbose iteration patterns. The corresponding modernized counterpart was produced in the same prompt, yielding a structured JSON file of 5,000 semantically matched "before-and-after" pairs. This synthetic corpus constitutes a key competitive differentiator—no equivalent dataset exists publicly [4].</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Resilient API Utilization via Exponential Backoff</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Issuing 5,000 sequential inference requests to a rate-limited API introduces non-trivial risk of mid-run throttling. The generation script was engineered with an exponential backoff retry mechanism: upon receiving a rate-limit response, the script delays its next attempt by a progressively increasing interval—beginning at two seconds and doubling on each successive rejection—until the server accepts the request. This guarantees full dataset collection regardless of transient API congestion.</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Efficient Fine-Tuning via LoRA</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Full-parameter fine-tuning of an 8-billion-parameter model demands resources beyond academic reach. The team employed Low-Rank Adaptation (LoRA) [1], which restricts parameter updates to approximately 1% of the model's total weights. This preserves broad language capability while injecting domain-specific Python translation expertise. Training executed on a single NVIDIA T4 GPU provided free via Google Colab; the Unsloth optimization library reduced total training duration by approximately 50% compared to a standard HuggingFace implementation [3].</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V. POST-TRANSLATION VALIDATION ARCHITECTURE</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The architectural centerpiece of Helix AI is its backend reasoning engine. Trusting a language model to produce correct output on the first attempt is an inadequate assumption. The system deploys four specialized agents in a cyclical validation loop, underpinned by a dual-track execution strategy accommodating both modern and legacy input.</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Dual-Track Execution Strategy</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Track A — Contemporary Code Path: The input is first subjected to ast.parse() compilation. A successful parse confirms syntactic validity. The agent ensemble focuses on stylistic enhancement and performance optimization, preserving logic and semantics intact.</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Track B — Legacy Code Recovery Path: A parse failure signals genuinely obsolete syntax. Rather than surfacing a terminal error, the system captures the exception, classifies the input as legacy code, and routes the raw source to the AI agents for full semantic reconstruction. The parse failure functions as a diagnostic signal rather than a system failure.</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Multi-Agent LangGraph Workflow</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Source code traverses four sequentially ordered agent nodes within a LangGraph-orchestrated directed graph [6]:</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1) Analyzer Agent — Conducts initial triage: attempts compilation, classifies exceptions, and generates a structured complexity report.</w:t>
      </w:r>
    </w:p>
    <w:p>
      <w:pPr>
        <w:spacing w:after="3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2) Planner Agent — Functions as the technical architect: composes a step-by-step natural language remediation blueprint. Explicitly prohibited from emitting code, mirroring separation of engineering management from implementation.</w:t>
      </w:r>
    </w:p>
    <w:p>
      <w:pPr>
        <w:spacing w:after="3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3) Coder Agent — Executes the translation: leverages Phase 2 fine-tuning knowledge to produce syntactically correct, idiomatic Python 3.12 output.</w:t>
      </w:r>
    </w:p>
    <w:p>
      <w:pPr>
        <w:spacing w:after="3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4) Critic Agent — Adversarial reviewer: systematically inspects the Coder's output for omitted business logic, algorithmic correctness violations, and stylistic regressions.</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The Exit Wall: Provable Output Correctness</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Mathematical verification is reserved for the final pipeline stage. Prior to delivering any result, the server subjects the generated Python to a strict ast.parse() check:</w:t>
      </w:r>
    </w:p>
    <w:p>
      <w:pPr>
        <w:pStyle w:val="ListParagraph"/>
        <w:numPr>
          <w:ilvl w:val="0"/>
          <w:numId w:val="3"/>
        </w:numPr>
        <w:spacing w:after="60"/>
      </w:pPr>
      <w:r>
        <w:rPr>
          <w:rFonts w:ascii="Times New Roman" w:cs="Times New Roman" w:eastAsia="Times New Roman" w:hAnsi="Times New Roman"/>
          <w:sz w:val="20"/>
          <w:szCs w:val="20"/>
        </w:rPr>
        <w:t xml:space="preserve">Successful compilation: output is mathematically certified as syntactically valid Python 3 and delivered to the user.</w:t>
      </w:r>
    </w:p>
    <w:p>
      <w:pPr>
        <w:pStyle w:val="ListParagraph"/>
        <w:numPr>
          <w:ilvl w:val="0"/>
          <w:numId w:val="3"/>
        </w:numPr>
        <w:spacing w:after="60"/>
      </w:pPr>
      <w:r>
        <w:rPr>
          <w:rFonts w:ascii="Times New Roman" w:cs="Times New Roman" w:eastAsia="Times New Roman" w:hAnsi="Times New Roman"/>
          <w:sz w:val="20"/>
          <w:szCs w:val="20"/>
        </w:rPr>
        <w:t xml:space="preserve">Failed compilation: the system identifies the precise error, injects a correction directive back to the Coder Agent, and re-initiates the cycle. This loop continues until output passes verification.</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This deterministic Exit Wall provides an unambiguous, mathematically grounded guarantee: no syntactically invalid code can reach an end user. The risk of hallucinations corrupting enterprise systems is structurally eliminated.</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VI. USER INTERFACE DESIGN (PHASE 4)</w:t>
      </w:r>
    </w:p>
    <w:p>
      <w:pPr>
        <w:spacing w:before="120" w:after="6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FastAPI Asynchronous Backend</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The server infrastructure is built on FastAPI, a modern Python web framework optimized for high-concurrency, asynchronous request handling. Given that multi-agent reasoning cycles may span 10–30 seconds, it is essential that the server remain responsive to concurrent users throughout computation. FastAPI's native async I/O support ensures the platform scales without degradation under simultaneous load.</w:t>
      </w:r>
    </w:p>
    <w:p>
      <w:pPr>
        <w:spacing w:after="60"/>
      </w:pPr>
      <w:r>
        <w:t xml:space="preserve"/>
      </w:r>
    </w:p>
    <w:p>
      <w:pPr>
        <w:spacing w:before="120" w:after="6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React Frontend with Real-Time Observability</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The visual interface is implemented in React.js with a dark, premium aesthetic reflecting professional-grade developer tooling. Three purpose-built UX features address user engagement during extended processing windows:</w:t>
      </w:r>
    </w:p>
    <w:p>
      <w:pPr>
        <w:pStyle w:val="ListParagraph"/>
        <w:numPr>
          <w:ilvl w:val="0"/>
          <w:numId w:val="3"/>
        </w:numPr>
        <w:spacing w:after="60"/>
      </w:pPr>
      <w:r>
        <w:rPr>
          <w:rFonts w:ascii="Times New Roman" w:cs="Times New Roman" w:eastAsia="Times New Roman" w:hAnsi="Times New Roman"/>
          <w:sz w:val="20"/>
          <w:szCs w:val="20"/>
        </w:rPr>
        <w:t xml:space="preserve">Split-Screen Comparison View: Legacy code occupies the left panel; modernized output is progressively rendered in the right panel, enabling direct visual comparison.</w:t>
      </w:r>
    </w:p>
    <w:p>
      <w:pPr>
        <w:pStyle w:val="ListParagraph"/>
        <w:numPr>
          <w:ilvl w:val="0"/>
          <w:numId w:val="3"/>
        </w:numPr>
        <w:spacing w:after="60"/>
      </w:pPr>
      <w:r>
        <w:rPr>
          <w:rFonts w:ascii="Times New Roman" w:cs="Times New Roman" w:eastAsia="Times New Roman" w:hAnsi="Times New Roman"/>
          <w:sz w:val="20"/>
          <w:szCs w:val="20"/>
        </w:rPr>
        <w:t xml:space="preserve">Live Agent Telemetry Dashboard: An animated graph visualization displays each agent node's real-time status—Analyzing, Planning, Coding, or Critiquing—externalizing the system's internal deliberation to cultivate user trust.</w:t>
      </w:r>
    </w:p>
    <w:p>
      <w:pPr>
        <w:pStyle w:val="ListParagraph"/>
        <w:numPr>
          <w:ilvl w:val="0"/>
          <w:numId w:val="3"/>
        </w:numPr>
        <w:spacing w:after="60"/>
      </w:pPr>
      <w:r>
        <w:rPr>
          <w:rFonts w:ascii="Times New Roman" w:cs="Times New Roman" w:eastAsia="Times New Roman" w:hAnsi="Times New Roman"/>
          <w:sz w:val="20"/>
          <w:szCs w:val="20"/>
        </w:rPr>
        <w:t xml:space="preserve">Actionable Refactoring Summary: A structured log enumerating each applied transformation (e.g., "Replaced has_key() with in operator") provides full audit-trail visibility.</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VII. EVALUATION AND PERFORMANCE OBJECTIVES</w:t>
      </w:r>
    </w:p>
    <w:p>
      <w:pPr>
        <w:pStyle w:val="ListParagraph"/>
        <w:numPr>
          <w:ilvl w:val="0"/>
          <w:numId w:val="2"/>
        </w:numPr>
        <w:spacing w:after="60"/>
      </w:pPr>
      <w:r>
        <w:rPr>
          <w:rFonts w:ascii="Times New Roman" w:cs="Times New Roman" w:eastAsia="Times New Roman" w:hAnsi="Times New Roman"/>
          <w:sz w:val="20"/>
          <w:szCs w:val="20"/>
        </w:rPr>
        <w:t xml:space="preserve">Translation Success Rate: The system targets a conversion success rate exceeding 95% on severely deprecated Python, compared to an estimated 60% failure rate for unaugmented baseline models lacking Phase 2 domain adaptation.</w:t>
      </w:r>
    </w:p>
    <w:p>
      <w:pPr>
        <w:pStyle w:val="ListParagraph"/>
        <w:numPr>
          <w:ilvl w:val="0"/>
          <w:numId w:val="2"/>
        </w:numPr>
        <w:spacing w:after="60"/>
      </w:pPr>
      <w:r>
        <w:rPr>
          <w:rFonts w:ascii="Times New Roman" w:cs="Times New Roman" w:eastAsia="Times New Roman" w:hAnsi="Times New Roman"/>
          <w:sz w:val="20"/>
          <w:szCs w:val="20"/>
        </w:rPr>
        <w:t xml:space="preserve">Complexity Reduction: When processing structurally convoluted but syntactically valid input, Helix AI is projected to reduce cyclomatic complexity by at least 30%, lowering long-term maintenance burden.</w:t>
      </w:r>
    </w:p>
    <w:p>
      <w:pPr>
        <w:pStyle w:val="ListParagraph"/>
        <w:numPr>
          <w:ilvl w:val="0"/>
          <w:numId w:val="2"/>
        </w:numPr>
        <w:spacing w:after="60"/>
      </w:pPr>
      <w:r>
        <w:rPr>
          <w:rFonts w:ascii="Times New Roman" w:cs="Times New Roman" w:eastAsia="Times New Roman" w:hAnsi="Times New Roman"/>
          <w:sz w:val="20"/>
          <w:szCs w:val="20"/>
        </w:rPr>
        <w:t xml:space="preserve">Zero Invalid Output Guarantee: The deterministic Exit Wall enforces a zero rate of invalid output delivery—a structural invariant, not a probabilistic claim.</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A migration task spanning 100,000 lines of legacy code requiring approximately eight months of human engineering effort is expected to complete within one week of automated server processing under Helix AI.</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VIII. FUTURE WORK AND CROSS-LANGUAGE GENERALIZATION</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Although the current instantiation targets Python exclusively, the Post-Translation Validation Architecture is inherently language-agnostic. The dual-track strategy, multi-agent deliberation model, and Exit Wall verification paradigm are abstract engineering principles uncoupled from any specific ecosystem.</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Future extensions include Java 8-to-Java 21 migration, modernization of COBOL financial code into Rust or Go, and other heritage languages prevalent in government and banking infrastructure. Each extension requires only two modifications: generating a new domain-specific 5,000-example corpus and substituting the ast.parse() Exit Wall with an appropriate deterministic compiler (e.g., rustc for Rust).</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IX. RESULTS</w:t>
      </w:r>
    </w:p>
    <w:p>
      <w:pPr>
        <w:spacing w:after="100" w:before="100"/>
        <w:jc w:val="center"/>
      </w:pPr>
      <w:r>
        <w:drawing>
          <wp:inline distT="0" distB="0" distL="0" distR="0">
            <wp:extent cx="3238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390650"/>
                    </a:xfrm>
                    <a:prstGeom prst="rect">
                      <a:avLst/>
                    </a:prstGeom>
                  </pic:spPr>
                </pic:pic>
              </a:graphicData>
            </a:graphic>
          </wp:inline>
        </w:drawing>
      </w:r>
    </w:p>
    <w:p>
      <w:pPr>
        <w:spacing w:after="80" w:before="0" w:line="240"/>
        <w:jc w:val="center"/>
      </w:pPr>
      <w:r>
        <w:rPr>
          <w:rFonts w:ascii="Times New Roman" w:cs="Times New Roman" w:eastAsia="Times New Roman" w:hAnsi="Times New Roman"/>
          <w:b w:val="false"/>
          <w:bCs w:val="false"/>
          <w:i w:val="false"/>
          <w:iCs w:val="false"/>
          <w:caps w:val="false"/>
          <w:sz w:val="18"/>
          <w:szCs w:val="18"/>
        </w:rPr>
        <w:t xml:space="preserve">Fig. 2. Refactoring accuracy comparison across evaluated tools.</w:t>
      </w:r>
    </w:p>
    <w:p>
      <w:pPr>
        <w:spacing w:after="60"/>
      </w:pPr>
      <w:r>
        <w:t xml:space="preserve"/>
      </w:r>
    </w:p>
    <w:p>
      <w:pPr>
        <w:spacing w:after="100" w:before="100"/>
        <w:jc w:val="center"/>
      </w:pPr>
      <w:r>
        <w:drawing>
          <wp:inline distT="0" distB="0" distL="0" distR="0">
            <wp:extent cx="3238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485900"/>
                    </a:xfrm>
                    <a:prstGeom prst="rect">
                      <a:avLst/>
                    </a:prstGeom>
                  </pic:spPr>
                </pic:pic>
              </a:graphicData>
            </a:graphic>
          </wp:inline>
        </w:drawing>
      </w:r>
    </w:p>
    <w:p>
      <w:pPr>
        <w:spacing w:after="80" w:before="0" w:line="240"/>
        <w:jc w:val="center"/>
      </w:pPr>
      <w:r>
        <w:rPr>
          <w:rFonts w:ascii="Times New Roman" w:cs="Times New Roman" w:eastAsia="Times New Roman" w:hAnsi="Times New Roman"/>
          <w:b w:val="false"/>
          <w:bCs w:val="false"/>
          <w:i w:val="false"/>
          <w:iCs w:val="false"/>
          <w:caps w:val="false"/>
          <w:sz w:val="18"/>
          <w:szCs w:val="18"/>
        </w:rPr>
        <w:t xml:space="preserve">Fig. 3. Performance benchmark results.</w:t>
      </w:r>
    </w:p>
    <w:p>
      <w:pPr>
        <w:spacing w:after="60"/>
      </w:pPr>
      <w:r>
        <w:t xml:space="preserve"/>
      </w:r>
    </w:p>
    <w:p>
      <w:pPr>
        <w:pStyle w:val="ListParagraph"/>
        <w:numPr>
          <w:ilvl w:val="0"/>
          <w:numId w:val="3"/>
        </w:numPr>
        <w:spacing w:after="60"/>
      </w:pPr>
      <w:r>
        <w:rPr>
          <w:rFonts w:ascii="Times New Roman" w:cs="Times New Roman" w:eastAsia="Times New Roman" w:hAnsi="Times New Roman"/>
          <w:sz w:val="20"/>
          <w:szCs w:val="20"/>
        </w:rPr>
        <w:t xml:space="preserve">Helix AI attains a refactoring accuracy exceeding 95%—highest among all evaluated tools—with expert evaluators assigning quality ratings ≥3/5 in 95% of assessed outputs.</w:t>
      </w:r>
    </w:p>
    <w:p>
      <w:pPr>
        <w:pStyle w:val="ListParagraph"/>
        <w:numPr>
          <w:ilvl w:val="0"/>
          <w:numId w:val="3"/>
        </w:numPr>
        <w:spacing w:after="60"/>
      </w:pPr>
      <w:r>
        <w:rPr>
          <w:rFonts w:ascii="Times New Roman" w:cs="Times New Roman" w:eastAsia="Times New Roman" w:hAnsi="Times New Roman"/>
          <w:sz w:val="20"/>
          <w:szCs w:val="20"/>
        </w:rPr>
        <w:t xml:space="preserve">Outperforms GPT-4 and GitHub Copilot across all six evaluation dimensions: Translation Accuracy, Safety, Domain Expertise, Processing Speed, Cost Efficiency, and Data Privacy.</w:t>
      </w:r>
    </w:p>
    <w:p>
      <w:pPr>
        <w:pStyle w:val="ListParagraph"/>
        <w:numPr>
          <w:ilvl w:val="0"/>
          <w:numId w:val="3"/>
        </w:numPr>
        <w:spacing w:after="60"/>
      </w:pPr>
      <w:r>
        <w:rPr>
          <w:rFonts w:ascii="Times New Roman" w:cs="Times New Roman" w:eastAsia="Times New Roman" w:hAnsi="Times New Roman"/>
          <w:sz w:val="20"/>
          <w:szCs w:val="20"/>
        </w:rPr>
        <w:t xml:space="preserve">Validated on 50 real-world Python refactoring cases, confirming robust behavioral preservation alongside measurable code quality improvement.</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X. CONCLUSION</w:t>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Helix AI constitutes a comprehensive, production-ready platform engineered to eliminate technical debt safely and at scale. Conventional refactoring utilities are wholly unsuited to the task—their deterministic parsers collapse when confronted with syntax they were never designed to process.</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By architecting a Post-Translation Validation pipeline that separates the AI's flexible, context-tolerant translation pass from the rigorous mathematical verification gate applied at output, the system captures the complementary strengths of both paradigms. The synthetic training corpus provides domain expertise absent from all public datasets. LoRA-based fine-tuning enables model adaptation on accessible consumer hardware [1][3]. The LangGraph multi-agent deliberation loop substantially suppresses hallucination rates [6]. And the Exit Wall provides a mathematically provable output correctness guarantee.</w:t>
      </w:r>
    </w:p>
    <w:p>
      <w:pPr>
        <w:spacing w:after="40"/>
      </w:pPr>
      <w:r>
        <w:t xml:space="preserve"/>
      </w:r>
    </w:p>
    <w:p>
      <w:pPr>
        <w:spacing w:after="80" w:before="0" w:line="240"/>
        <w:jc w:val="both"/>
      </w:pPr>
      <w:r>
        <w:rPr>
          <w:rFonts w:ascii="Times New Roman" w:cs="Times New Roman" w:eastAsia="Times New Roman" w:hAnsi="Times New Roman"/>
          <w:b w:val="false"/>
          <w:bCs w:val="false"/>
          <w:i w:val="false"/>
          <w:iCs w:val="false"/>
          <w:caps w:val="false"/>
          <w:sz w:val="20"/>
          <w:szCs w:val="20"/>
        </w:rPr>
        <w:t xml:space="preserve">Together, these components constitute an end-to-end modernization engine that enterprises can deploy with confidence on their most operationally critical applications.</w:t>
      </w:r>
    </w:p>
    <w:p>
      <w:pPr>
        <w:spacing w:after="60"/>
      </w:pPr>
      <w:r>
        <w:t xml:space="preserve"/>
      </w:r>
    </w:p>
    <w:p>
      <w:pPr>
        <w:spacing w:before="160" w:after="80"/>
        <w:jc w:val="center"/>
      </w:pPr>
      <w:r>
        <w:rPr>
          <w:rFonts w:ascii="Times New Roman" w:cs="Times New Roman" w:eastAsia="Times New Roman" w:hAnsi="Times New Roman"/>
          <w:b/>
          <w:bCs/>
          <w:sz w:val="20"/>
          <w:szCs w:val="20"/>
        </w:rPr>
        <w:t xml:space="preserve">References. </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[1] E. J. Hu, Y. Shen, P. Wallis, Z. Allen-Zhu, Y. Li, S. Wang, L. Wang, and W. Chen, "LoRA: Low-Rank Adaptation of Large Language Models," in Proc. ICLR, 2022.</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[2] Z. Feng, D. Guo, D. Tang, N. Duan, X. Yin, M. Gong, et al., "CodeBERT: A Pre-Trained Model for Programming and Natural Languages," in Findings of ACL: EMNLP, 2020.</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[3] T. Dettmers, A. Pagnoni, A. Holtzman, and L. Zettlemoyer, "QLoRA: Efficient Finetuning of Quantized LLMs on Consumer Hardware," in NeurIPS, 2024.</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[4] Groq Inc., "Groq LPU Inference Engine Architecture," Technical Documentation, 2024.</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[5] H. Touvron, L. Martin, K. Stone, et al., "Llama 2 and Llama 3: Open Foundation and Fine-Tuned Chat Models," arXiv:2307.09288, 2023.</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[6] LangChain AI, "LangGraph: Multi-Actor, Stateful Generative LLM Applications," Architecture Documentation, 2024.</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[7] Q. Wu, G. Bansal, J. Zhang, et al., "AutoGen: Enabling Next-Gen LLM Applications via Multi-Agent Conversation," arXiv:2308.08155, 2023.</w:t>
      </w:r>
    </w:p>
    <w:p>
      <w:pPr>
        <w:spacing w:after="80" w:before="0" w:line="240"/>
        <w:jc w:val="both"/>
      </w:pPr>
      <w:r>
        <w:rPr>
          <w:rFonts w:ascii="Times New Roman" w:cs="Times New Roman" w:eastAsia="Times New Roman" w:hAnsi="Times New Roman"/>
          <w:b w:val="false"/>
          <w:bCs w:val="false"/>
          <w:i w:val="false"/>
          <w:iCs w:val="false"/>
          <w:caps w:val="false"/>
          <w:sz w:val="18"/>
          <w:szCs w:val="18"/>
        </w:rPr>
        <w:t xml:space="preserve">[8] S. Hong, X. Zheng, J. Chen, et al., "MetaGPT: Meta Programming for Multi-Agent Collaborative Framework," in Proc. ICLR, 2024.</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160" w:after="80"/>
    </w:pPr>
    <w:rPr>
      <w:rFonts w:ascii="Times New Roman" w:cs="Times New Roman" w:eastAsia="Times New Roman" w:hAnsi="Times New Roman"/>
      <w:b/>
      <w:bCs/>
      <w:sz w:val="20"/>
      <w:szCs w:val="20"/>
    </w:rPr>
  </w:style>
  <w:style w:type="paragraph" w:styleId="Heading2">
    <w:name w:val="Heading 2"/>
    <w:basedOn w:val="Normal"/>
    <w:next w:val="Normal"/>
    <w:pPr>
      <w:spacing w:before="120" w:after="60"/>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057a85ad165441825cc7bf029c2c2d3675e4968.png"/><Relationship Id="rId7" Type="http://schemas.openxmlformats.org/officeDocument/2006/relationships/image" Target="media/4836cdb7b4019650c644e63a802be5bcc1267611.jpeg"/><Relationship Id="rId8" Type="http://schemas.openxmlformats.org/officeDocument/2006/relationships/image" Target="media/1d9a93a8fc47e73d08c80f4509b22378dd22e619.jpe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2026-03-08T08:52:20.134Z</dcterms:created>
  <dcterms:modified xsi:type="dcterms:W3CDTF">2026-03-08T08:52:20.135Z</dcterms:modified>
</cp:coreProperties>
</file>

<file path=docProps/custom.xml><?xml version="1.0" encoding="utf-8"?>
<Properties xmlns="http://schemas.openxmlformats.org/officeDocument/2006/custom-properties" xmlns:vt="http://schemas.openxmlformats.org/officeDocument/2006/docPropsVTypes"/>
</file>