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Reimbursement Procedure</w:t>
      </w:r>
    </w:p>
    <w:p>
      <w:r>
        <w:t>Document Title: Expense Reimbursement Procedure</w:t>
      </w:r>
    </w:p>
    <w:p>
      <w:r>
        <w:t>Document ID: CNT-FIN-016</w:t>
      </w:r>
    </w:p>
    <w:p>
      <w:r>
        <w:t>Department: Finance</w:t>
      </w:r>
    </w:p>
    <w:p>
      <w:r>
        <w:t>Policy Category: Finance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Finance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Employees submit expense reports through the expense platform.</w:t>
      </w:r>
    </w:p>
    <w:p>
      <w:r>
        <w:t>Required information includes transaction date, merchant, amount, business purpose, cost center, and attendees for business meals.</w:t>
      </w:r>
    </w:p>
    <w:p>
      <w:r>
        <w:t>Receipts are required for expenses of $25 or more.</w:t>
      </w:r>
    </w:p>
    <w:p>
      <w:r>
        <w:t>Manager approval is required before Finance processes reimbursement.</w:t>
      </w:r>
    </w:p>
    <w:p>
      <w:r>
        <w:t>Expense reports submitted more than 60 calendar days after the expense date require Finance Director approval.</w:t>
      </w:r>
    </w:p>
    <w:p>
      <w:r>
        <w:t>Finance may return incomplete reports for correction.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