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Referral Policy</w:t>
      </w:r>
    </w:p>
    <w:p>
      <w:r>
        <w:t>Document Title: Employee Referral Policy</w:t>
      </w:r>
    </w:p>
    <w:p>
      <w:r>
        <w:t>Document ID: CNT-HR-013</w:t>
      </w:r>
    </w:p>
    <w:p>
      <w:r>
        <w:t>Department: Talent Acquisition</w:t>
      </w:r>
    </w:p>
    <w:p>
      <w:r>
        <w:t>Policy Category: Recruiting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Talent Acquisition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Employees may refer external candidates for open Contoso positions through the internal referral portal.</w:t>
      </w:r>
    </w:p>
    <w:p>
      <w:r>
        <w:t>Referral eligibility: Regular employees may participate. Employees directly involved in recruiting for the referred role are not eligible for a referral award for that role.</w:t>
      </w:r>
    </w:p>
    <w:p>
      <w:r>
        <w:t>Award: A successful referral may qualify for a $1,500 gross referral award after the referred employee completes 90 days of continuous employment.</w:t>
      </w:r>
    </w:p>
    <w:p>
      <w:r>
        <w:t>Multiple referrals: If multiple employees refer the same candidate, the first valid referral recorded in the portal receives credit unless Talent Acquisition determines otherwise.</w:t>
      </w:r>
    </w:p>
    <w:p>
      <w:r>
        <w:t>Awards are subject to payroll deductions and applicable tax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