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Learning &amp; Development Policy</w:t>
      </w:r>
    </w:p>
    <w:p>
      <w:r>
        <w:t>Document Title: Learning &amp; Development Policy</w:t>
      </w:r>
    </w:p>
    <w:p>
      <w:r>
        <w:t>Document ID: CNT-HR-014</w:t>
      </w:r>
    </w:p>
    <w:p>
      <w:r>
        <w:t>Department: People Operations</w:t>
      </w:r>
    </w:p>
    <w:p>
      <w:r>
        <w:t>Policy Category: Benefits</w:t>
      </w:r>
    </w:p>
    <w:p>
      <w:r>
        <w:t>Version: 1.0</w:t>
      </w:r>
    </w:p>
    <w:p>
      <w:r>
        <w:t>Effective Date: January 1, 2026</w:t>
      </w:r>
    </w:p>
    <w:p>
      <w:r>
        <w:t>Last Updated: January 15, 2026</w:t>
      </w:r>
    </w:p>
    <w:p>
      <w:r>
        <w:t>Owner: People Operations</w:t>
      </w:r>
    </w:p>
    <w:p>
      <w:r>
        <w:t>Approval Authority: Contoso Policy Council</w:t>
      </w:r>
    </w:p>
    <w:p>
      <w:r>
        <w:t>Status: Active</w:t>
      </w:r>
    </w:p>
    <w:p>
      <w:r>
        <w:t>Confidentiality: Internal</w:t>
      </w:r>
    </w:p>
    <w:p>
      <w:r>
        <w:t>Format: DOCX</w:t>
      </w:r>
    </w:p>
    <w:p>
      <w:r>
        <w:t>Contoso supports employee development through approved learning programs.</w:t>
      </w:r>
    </w:p>
    <w:p>
      <w:r>
        <w:t>Annual allowance: Eligible employees may receive up to $2,500 per calendar year for approved external courses, professional certifications, and job-related conferences.</w:t>
      </w:r>
    </w:p>
    <w:p>
      <w:r>
        <w:t>Eligibility: Employees must have completed 90 days of continuous employment.</w:t>
      </w:r>
    </w:p>
    <w:p>
      <w:r>
        <w:t>Pre-approval: Employees must obtain manager approval and People Operations approval before registering for a reimbursable program.</w:t>
      </w:r>
    </w:p>
    <w:p>
      <w:r>
        <w:t>Reimbursement: The employee must provide proof of payment and completion. Reimbursement is normally processed through the expense system.</w:t>
      </w:r>
    </w:p>
    <w:p>
      <w:r>
        <w:t>Non-covered items include personal-interest courses, late fees, entertainment expenses, and costs not approved before registration.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