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Instituto Federal de Minas Gerais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Técnico em Informática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Componente Curricular: Introdução à Informática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Introdução à Informática – Google Drive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Este componente curricular visa familiarizar o corpo discente com a cultura do computador (histórico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 uso) e fornecer-lhe condições para que o computador seja uma ferramenta de trabalho auxiliar na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resolução de problemas correlatos (processamento de texto, manuseio de dados numéricos, busca de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informações) à sua área de conhecimento.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