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25A1B7" w14:textId="77777777" w:rsidR="00486A46" w:rsidRPr="00EB39B5" w:rsidRDefault="00486A46">
      <w:pPr>
        <w:spacing w:before="2000"/>
        <w:rPr>
          <w:rFonts w:ascii="Times New Roman" w:hAnsi="Times New Roman" w:cs="Times New Roman"/>
        </w:rPr>
      </w:pPr>
    </w:p>
    <w:p w14:paraId="08B9D275" w14:textId="77777777" w:rsidR="00486A46" w:rsidRPr="00EB39B5" w:rsidRDefault="00D027D9">
      <w:pPr>
        <w:jc w:val="center"/>
        <w:rPr>
          <w:rFonts w:ascii="Times New Roman" w:hAnsi="Times New Roman" w:cs="Times New Roman"/>
        </w:rPr>
      </w:pPr>
      <w:proofErr w:type="spellStart"/>
      <w:r w:rsidRPr="00EB39B5">
        <w:rPr>
          <w:rFonts w:ascii="Times New Roman" w:hAnsi="Times New Roman" w:cs="Times New Roman"/>
          <w:b/>
          <w:bCs/>
          <w:color w:val="1F3864"/>
          <w:sz w:val="40"/>
          <w:szCs w:val="40"/>
        </w:rPr>
        <w:t>FinTrust</w:t>
      </w:r>
      <w:proofErr w:type="spellEnd"/>
      <w:r w:rsidRPr="00EB39B5">
        <w:rPr>
          <w:rFonts w:ascii="Times New Roman" w:hAnsi="Times New Roman" w:cs="Times New Roman"/>
          <w:b/>
          <w:bCs/>
          <w:color w:val="1F3864"/>
          <w:sz w:val="40"/>
          <w:szCs w:val="40"/>
        </w:rPr>
        <w:t xml:space="preserve"> Digital Finance</w:t>
      </w:r>
    </w:p>
    <w:p w14:paraId="5BCB9856" w14:textId="77777777" w:rsidR="00486A46" w:rsidRPr="00EB39B5" w:rsidRDefault="00D027D9">
      <w:pPr>
        <w:spacing w:before="120" w:after="400"/>
        <w:jc w:val="center"/>
        <w:rPr>
          <w:rFonts w:ascii="Times New Roman" w:hAnsi="Times New Roman" w:cs="Times New Roman"/>
        </w:rPr>
      </w:pPr>
      <w:r w:rsidRPr="00EB39B5">
        <w:rPr>
          <w:rFonts w:ascii="Times New Roman" w:hAnsi="Times New Roman" w:cs="Times New Roman"/>
          <w:color w:val="444444"/>
          <w:sz w:val="32"/>
          <w:szCs w:val="32"/>
        </w:rPr>
        <w:t>Strategic Insights Report</w:t>
      </w:r>
    </w:p>
    <w:p w14:paraId="2CA0002C" w14:textId="77777777" w:rsidR="00486A46" w:rsidRPr="00EB39B5" w:rsidRDefault="00D027D9">
      <w:pPr>
        <w:spacing w:before="600"/>
        <w:jc w:val="center"/>
        <w:rPr>
          <w:rFonts w:ascii="Times New Roman" w:hAnsi="Times New Roman" w:cs="Times New Roman"/>
        </w:rPr>
      </w:pPr>
      <w:r w:rsidRPr="00EB39B5">
        <w:rPr>
          <w:rFonts w:ascii="Times New Roman" w:hAnsi="Times New Roman" w:cs="Times New Roman"/>
          <w:b/>
          <w:bCs/>
          <w:sz w:val="26"/>
          <w:szCs w:val="26"/>
        </w:rPr>
        <w:t>Credit Risk &amp; Customer Financial Health Analytics</w:t>
      </w:r>
    </w:p>
    <w:p w14:paraId="1133652A" w14:textId="77777777" w:rsidR="00486A46" w:rsidRPr="00EB39B5" w:rsidRDefault="00D027D9">
      <w:pPr>
        <w:spacing w:after="800"/>
        <w:jc w:val="center"/>
        <w:rPr>
          <w:rFonts w:ascii="Times New Roman" w:hAnsi="Times New Roman" w:cs="Times New Roman"/>
        </w:rPr>
      </w:pPr>
      <w:r w:rsidRPr="00EB39B5">
        <w:rPr>
          <w:rFonts w:ascii="Times New Roman" w:hAnsi="Times New Roman" w:cs="Times New Roman"/>
          <w:b/>
          <w:bCs/>
          <w:sz w:val="26"/>
          <w:szCs w:val="26"/>
        </w:rPr>
        <w:t>for a Digital Lending Provider</w:t>
      </w:r>
    </w:p>
    <w:p w14:paraId="7BBCB32D" w14:textId="77777777" w:rsidR="00486A46" w:rsidRPr="00EB39B5" w:rsidRDefault="00D027D9">
      <w:pPr>
        <w:spacing w:before="1600"/>
        <w:jc w:val="center"/>
        <w:rPr>
          <w:rFonts w:ascii="Times New Roman" w:hAnsi="Times New Roman" w:cs="Times New Roman"/>
        </w:rPr>
      </w:pPr>
      <w:r w:rsidRPr="00EB39B5">
        <w:rPr>
          <w:rFonts w:ascii="Times New Roman" w:hAnsi="Times New Roman" w:cs="Times New Roman"/>
        </w:rPr>
        <w:t xml:space="preserve">Prepared for the Executive Board of </w:t>
      </w:r>
      <w:proofErr w:type="spellStart"/>
      <w:r w:rsidRPr="00EB39B5">
        <w:rPr>
          <w:rFonts w:ascii="Times New Roman" w:hAnsi="Times New Roman" w:cs="Times New Roman"/>
        </w:rPr>
        <w:t>FinTrust</w:t>
      </w:r>
      <w:proofErr w:type="spellEnd"/>
      <w:r w:rsidRPr="00EB39B5">
        <w:rPr>
          <w:rFonts w:ascii="Times New Roman" w:hAnsi="Times New Roman" w:cs="Times New Roman"/>
        </w:rPr>
        <w:t xml:space="preserve"> Digital Finance</w:t>
      </w:r>
    </w:p>
    <w:p w14:paraId="64A35A74" w14:textId="39D2CF3A" w:rsidR="00486A46" w:rsidRPr="00EB39B5" w:rsidRDefault="00D027D9" w:rsidP="00FC09DE">
      <w:pPr>
        <w:jc w:val="center"/>
        <w:rPr>
          <w:rFonts w:ascii="Times New Roman" w:hAnsi="Times New Roman" w:cs="Times New Roman"/>
        </w:rPr>
      </w:pPr>
      <w:r w:rsidRPr="00EB39B5">
        <w:rPr>
          <w:rFonts w:ascii="Times New Roman" w:hAnsi="Times New Roman" w:cs="Times New Roman"/>
        </w:rPr>
        <w:t xml:space="preserve">Prepared by: Data Science Consulting Team — </w:t>
      </w:r>
      <w:r w:rsidR="00FC09DE" w:rsidRPr="00EB39B5">
        <w:rPr>
          <w:rFonts w:ascii="Times New Roman" w:hAnsi="Times New Roman" w:cs="Times New Roman"/>
        </w:rPr>
        <w:t>Bit-Wiser</w:t>
      </w:r>
    </w:p>
    <w:p w14:paraId="69D1F399" w14:textId="77777777" w:rsidR="00486A46" w:rsidRPr="00EB39B5" w:rsidRDefault="00486A46">
      <w:pPr>
        <w:rPr>
          <w:rFonts w:ascii="Times New Roman" w:hAnsi="Times New Roman" w:cs="Times New Roman"/>
        </w:rPr>
        <w:sectPr w:rsidR="00486A46" w:rsidRPr="00EB39B5">
          <w:pgSz w:w="12240" w:h="15840"/>
          <w:pgMar w:top="1440" w:right="1440" w:bottom="1440" w:left="1440" w:header="708" w:footer="708" w:gutter="0"/>
          <w:cols w:space="720"/>
          <w:docGrid w:linePitch="360"/>
        </w:sectPr>
      </w:pPr>
    </w:p>
    <w:p w14:paraId="367B1E28" w14:textId="77777777" w:rsidR="00486A46" w:rsidRPr="00EB39B5" w:rsidRDefault="00D027D9">
      <w:pPr>
        <w:pStyle w:val="Heading1"/>
        <w:rPr>
          <w:rFonts w:ascii="Times New Roman" w:hAnsi="Times New Roman" w:cs="Times New Roman"/>
        </w:rPr>
      </w:pPr>
      <w:bookmarkStart w:id="0" w:name="_Toc235041898"/>
      <w:r w:rsidRPr="00EB39B5">
        <w:rPr>
          <w:rFonts w:ascii="Times New Roman" w:hAnsi="Times New Roman" w:cs="Times New Roman"/>
        </w:rPr>
        <w:lastRenderedPageBreak/>
        <w:t>Table of Contents</w:t>
      </w:r>
      <w:bookmarkEnd w:id="0"/>
    </w:p>
    <w:sdt>
      <w:sdtPr>
        <w:rPr>
          <w:rFonts w:ascii="Times New Roman" w:eastAsia="Calibri" w:hAnsi="Times New Roman" w:cs="Times New Roman"/>
          <w:color w:val="auto"/>
          <w:sz w:val="22"/>
          <w:szCs w:val="22"/>
        </w:rPr>
        <w:id w:val="1755160163"/>
        <w:docPartObj>
          <w:docPartGallery w:val="Table of Contents"/>
          <w:docPartUnique/>
        </w:docPartObj>
      </w:sdtPr>
      <w:sdtEndPr>
        <w:rPr>
          <w:b/>
          <w:bCs/>
          <w:noProof/>
        </w:rPr>
      </w:sdtEndPr>
      <w:sdtContent>
        <w:p w14:paraId="136381BD" w14:textId="4CA45058" w:rsidR="00FC09DE" w:rsidRPr="00EB39B5" w:rsidRDefault="00FC09DE">
          <w:pPr>
            <w:pStyle w:val="TOCHeading"/>
            <w:rPr>
              <w:rFonts w:ascii="Times New Roman" w:hAnsi="Times New Roman" w:cs="Times New Roman"/>
            </w:rPr>
          </w:pPr>
        </w:p>
        <w:p w14:paraId="57BF37C7" w14:textId="3692C5E3" w:rsidR="00EB39B5" w:rsidRDefault="00FC09DE">
          <w:pPr>
            <w:pStyle w:val="TOC1"/>
            <w:tabs>
              <w:tab w:val="right" w:leader="dot" w:pos="9016"/>
            </w:tabs>
            <w:rPr>
              <w:rFonts w:asciiTheme="minorHAnsi" w:eastAsiaTheme="minorEastAsia" w:hAnsiTheme="minorHAnsi" w:cstheme="minorBidi"/>
              <w:noProof/>
              <w:lang w:bidi="si-LK"/>
            </w:rPr>
          </w:pPr>
          <w:r w:rsidRPr="00EB39B5">
            <w:rPr>
              <w:rFonts w:ascii="Times New Roman" w:hAnsi="Times New Roman" w:cs="Times New Roman"/>
            </w:rPr>
            <w:fldChar w:fldCharType="begin"/>
          </w:r>
          <w:r w:rsidRPr="00EB39B5">
            <w:rPr>
              <w:rFonts w:ascii="Times New Roman" w:hAnsi="Times New Roman" w:cs="Times New Roman"/>
            </w:rPr>
            <w:instrText xml:space="preserve"> TOC \o "1-3" \h \z \u </w:instrText>
          </w:r>
          <w:r w:rsidRPr="00EB39B5">
            <w:rPr>
              <w:rFonts w:ascii="Times New Roman" w:hAnsi="Times New Roman" w:cs="Times New Roman"/>
            </w:rPr>
            <w:fldChar w:fldCharType="separate"/>
          </w:r>
          <w:hyperlink w:anchor="_Toc235041898" w:history="1">
            <w:r w:rsidR="00EB39B5" w:rsidRPr="005E2A9B">
              <w:rPr>
                <w:rStyle w:val="Hyperlink"/>
                <w:rFonts w:ascii="Times New Roman" w:hAnsi="Times New Roman" w:cs="Times New Roman"/>
                <w:noProof/>
              </w:rPr>
              <w:t>Table of Contents</w:t>
            </w:r>
            <w:r w:rsidR="00EB39B5">
              <w:rPr>
                <w:noProof/>
                <w:webHidden/>
              </w:rPr>
              <w:tab/>
            </w:r>
            <w:r w:rsidR="00EB39B5">
              <w:rPr>
                <w:noProof/>
                <w:webHidden/>
              </w:rPr>
              <w:fldChar w:fldCharType="begin"/>
            </w:r>
            <w:r w:rsidR="00EB39B5">
              <w:rPr>
                <w:noProof/>
                <w:webHidden/>
              </w:rPr>
              <w:instrText xml:space="preserve"> PAGEREF _Toc235041898 \h </w:instrText>
            </w:r>
            <w:r w:rsidR="00EB39B5">
              <w:rPr>
                <w:noProof/>
                <w:webHidden/>
              </w:rPr>
            </w:r>
            <w:r w:rsidR="00EB39B5">
              <w:rPr>
                <w:noProof/>
                <w:webHidden/>
              </w:rPr>
              <w:fldChar w:fldCharType="separate"/>
            </w:r>
            <w:r w:rsidR="00391BE2">
              <w:rPr>
                <w:noProof/>
                <w:webHidden/>
              </w:rPr>
              <w:t>2</w:t>
            </w:r>
            <w:r w:rsidR="00EB39B5">
              <w:rPr>
                <w:noProof/>
                <w:webHidden/>
              </w:rPr>
              <w:fldChar w:fldCharType="end"/>
            </w:r>
          </w:hyperlink>
        </w:p>
        <w:p w14:paraId="5DCBAF39" w14:textId="359A1D7F" w:rsidR="00EB39B5" w:rsidRDefault="00EB39B5">
          <w:pPr>
            <w:pStyle w:val="TOC1"/>
            <w:tabs>
              <w:tab w:val="right" w:leader="dot" w:pos="9016"/>
            </w:tabs>
            <w:rPr>
              <w:rFonts w:asciiTheme="minorHAnsi" w:eastAsiaTheme="minorEastAsia" w:hAnsiTheme="minorHAnsi" w:cstheme="minorBidi"/>
              <w:noProof/>
              <w:lang w:bidi="si-LK"/>
            </w:rPr>
          </w:pPr>
          <w:hyperlink w:anchor="_Toc235041899" w:history="1">
            <w:r w:rsidRPr="005E2A9B">
              <w:rPr>
                <w:rStyle w:val="Hyperlink"/>
                <w:rFonts w:ascii="Times New Roman" w:hAnsi="Times New Roman" w:cs="Times New Roman"/>
                <w:noProof/>
              </w:rPr>
              <w:t>Executive Summary</w:t>
            </w:r>
            <w:r>
              <w:rPr>
                <w:noProof/>
                <w:webHidden/>
              </w:rPr>
              <w:tab/>
            </w:r>
            <w:r>
              <w:rPr>
                <w:noProof/>
                <w:webHidden/>
              </w:rPr>
              <w:fldChar w:fldCharType="begin"/>
            </w:r>
            <w:r>
              <w:rPr>
                <w:noProof/>
                <w:webHidden/>
              </w:rPr>
              <w:instrText xml:space="preserve"> PAGEREF _Toc235041899 \h </w:instrText>
            </w:r>
            <w:r>
              <w:rPr>
                <w:noProof/>
                <w:webHidden/>
              </w:rPr>
            </w:r>
            <w:r>
              <w:rPr>
                <w:noProof/>
                <w:webHidden/>
              </w:rPr>
              <w:fldChar w:fldCharType="separate"/>
            </w:r>
            <w:r w:rsidR="00391BE2">
              <w:rPr>
                <w:noProof/>
                <w:webHidden/>
              </w:rPr>
              <w:t>3</w:t>
            </w:r>
            <w:r>
              <w:rPr>
                <w:noProof/>
                <w:webHidden/>
              </w:rPr>
              <w:fldChar w:fldCharType="end"/>
            </w:r>
          </w:hyperlink>
        </w:p>
        <w:p w14:paraId="6A0E070E" w14:textId="2DC85656" w:rsidR="00EB39B5" w:rsidRDefault="00EB39B5">
          <w:pPr>
            <w:pStyle w:val="TOC1"/>
            <w:tabs>
              <w:tab w:val="right" w:leader="dot" w:pos="9016"/>
            </w:tabs>
            <w:rPr>
              <w:rFonts w:asciiTheme="minorHAnsi" w:eastAsiaTheme="minorEastAsia" w:hAnsiTheme="minorHAnsi" w:cstheme="minorBidi"/>
              <w:noProof/>
              <w:lang w:bidi="si-LK"/>
            </w:rPr>
          </w:pPr>
          <w:hyperlink w:anchor="_Toc235041900" w:history="1">
            <w:r w:rsidRPr="005E2A9B">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_Toc235041900 \h </w:instrText>
            </w:r>
            <w:r>
              <w:rPr>
                <w:noProof/>
                <w:webHidden/>
              </w:rPr>
            </w:r>
            <w:r>
              <w:rPr>
                <w:noProof/>
                <w:webHidden/>
              </w:rPr>
              <w:fldChar w:fldCharType="separate"/>
            </w:r>
            <w:r w:rsidR="00391BE2">
              <w:rPr>
                <w:noProof/>
                <w:webHidden/>
              </w:rPr>
              <w:t>3</w:t>
            </w:r>
            <w:r>
              <w:rPr>
                <w:noProof/>
                <w:webHidden/>
              </w:rPr>
              <w:fldChar w:fldCharType="end"/>
            </w:r>
          </w:hyperlink>
        </w:p>
        <w:p w14:paraId="37318CC3" w14:textId="45D74D9E" w:rsidR="00EB39B5" w:rsidRDefault="00EB39B5">
          <w:pPr>
            <w:pStyle w:val="TOC1"/>
            <w:tabs>
              <w:tab w:val="right" w:leader="dot" w:pos="9016"/>
            </w:tabs>
            <w:rPr>
              <w:rFonts w:asciiTheme="minorHAnsi" w:eastAsiaTheme="minorEastAsia" w:hAnsiTheme="minorHAnsi" w:cstheme="minorBidi"/>
              <w:noProof/>
              <w:lang w:bidi="si-LK"/>
            </w:rPr>
          </w:pPr>
          <w:hyperlink w:anchor="_Toc235041901" w:history="1">
            <w:r w:rsidRPr="005E2A9B">
              <w:rPr>
                <w:rStyle w:val="Hyperlink"/>
                <w:rFonts w:ascii="Times New Roman" w:hAnsi="Times New Roman" w:cs="Times New Roman"/>
                <w:noProof/>
              </w:rPr>
              <w:t>Data &amp; Methodology</w:t>
            </w:r>
            <w:r>
              <w:rPr>
                <w:noProof/>
                <w:webHidden/>
              </w:rPr>
              <w:tab/>
            </w:r>
            <w:r>
              <w:rPr>
                <w:noProof/>
                <w:webHidden/>
              </w:rPr>
              <w:fldChar w:fldCharType="begin"/>
            </w:r>
            <w:r>
              <w:rPr>
                <w:noProof/>
                <w:webHidden/>
              </w:rPr>
              <w:instrText xml:space="preserve"> PAGEREF _Toc235041901 \h </w:instrText>
            </w:r>
            <w:r>
              <w:rPr>
                <w:noProof/>
                <w:webHidden/>
              </w:rPr>
            </w:r>
            <w:r>
              <w:rPr>
                <w:noProof/>
                <w:webHidden/>
              </w:rPr>
              <w:fldChar w:fldCharType="separate"/>
            </w:r>
            <w:r w:rsidR="00391BE2">
              <w:rPr>
                <w:noProof/>
                <w:webHidden/>
              </w:rPr>
              <w:t>4</w:t>
            </w:r>
            <w:r>
              <w:rPr>
                <w:noProof/>
                <w:webHidden/>
              </w:rPr>
              <w:fldChar w:fldCharType="end"/>
            </w:r>
          </w:hyperlink>
        </w:p>
        <w:p w14:paraId="02F1E52B" w14:textId="1E440D1D" w:rsidR="00EB39B5" w:rsidRDefault="00EB39B5">
          <w:pPr>
            <w:pStyle w:val="TOC1"/>
            <w:tabs>
              <w:tab w:val="right" w:leader="dot" w:pos="9016"/>
            </w:tabs>
            <w:rPr>
              <w:rFonts w:asciiTheme="minorHAnsi" w:eastAsiaTheme="minorEastAsia" w:hAnsiTheme="minorHAnsi" w:cstheme="minorBidi"/>
              <w:noProof/>
              <w:lang w:bidi="si-LK"/>
            </w:rPr>
          </w:pPr>
          <w:hyperlink w:anchor="_Toc235041902" w:history="1">
            <w:r w:rsidRPr="005E2A9B">
              <w:rPr>
                <w:rStyle w:val="Hyperlink"/>
                <w:rFonts w:ascii="Times New Roman" w:hAnsi="Times New Roman" w:cs="Times New Roman"/>
                <w:noProof/>
              </w:rPr>
              <w:t>Credit Risk &amp; Repayment Analysis</w:t>
            </w:r>
            <w:r>
              <w:rPr>
                <w:noProof/>
                <w:webHidden/>
              </w:rPr>
              <w:tab/>
            </w:r>
            <w:r>
              <w:rPr>
                <w:noProof/>
                <w:webHidden/>
              </w:rPr>
              <w:fldChar w:fldCharType="begin"/>
            </w:r>
            <w:r>
              <w:rPr>
                <w:noProof/>
                <w:webHidden/>
              </w:rPr>
              <w:instrText xml:space="preserve"> PAGEREF _Toc235041902 \h </w:instrText>
            </w:r>
            <w:r>
              <w:rPr>
                <w:noProof/>
                <w:webHidden/>
              </w:rPr>
            </w:r>
            <w:r>
              <w:rPr>
                <w:noProof/>
                <w:webHidden/>
              </w:rPr>
              <w:fldChar w:fldCharType="separate"/>
            </w:r>
            <w:r w:rsidR="00391BE2">
              <w:rPr>
                <w:noProof/>
                <w:webHidden/>
              </w:rPr>
              <w:t>4</w:t>
            </w:r>
            <w:r>
              <w:rPr>
                <w:noProof/>
                <w:webHidden/>
              </w:rPr>
              <w:fldChar w:fldCharType="end"/>
            </w:r>
          </w:hyperlink>
        </w:p>
        <w:p w14:paraId="14F14B4F" w14:textId="2DF0C009" w:rsidR="00EB39B5" w:rsidRDefault="00EB39B5">
          <w:pPr>
            <w:pStyle w:val="TOC1"/>
            <w:tabs>
              <w:tab w:val="right" w:leader="dot" w:pos="9016"/>
            </w:tabs>
            <w:rPr>
              <w:rFonts w:asciiTheme="minorHAnsi" w:eastAsiaTheme="minorEastAsia" w:hAnsiTheme="minorHAnsi" w:cstheme="minorBidi"/>
              <w:noProof/>
              <w:lang w:bidi="si-LK"/>
            </w:rPr>
          </w:pPr>
          <w:hyperlink w:anchor="_Toc235041903" w:history="1">
            <w:r w:rsidRPr="005E2A9B">
              <w:rPr>
                <w:rStyle w:val="Hyperlink"/>
                <w:rFonts w:ascii="Times New Roman" w:hAnsi="Times New Roman" w:cs="Times New Roman"/>
                <w:noProof/>
              </w:rPr>
              <w:t>Customer Segmentation &amp; Strategy</w:t>
            </w:r>
            <w:r>
              <w:rPr>
                <w:noProof/>
                <w:webHidden/>
              </w:rPr>
              <w:tab/>
            </w:r>
            <w:r>
              <w:rPr>
                <w:noProof/>
                <w:webHidden/>
              </w:rPr>
              <w:fldChar w:fldCharType="begin"/>
            </w:r>
            <w:r>
              <w:rPr>
                <w:noProof/>
                <w:webHidden/>
              </w:rPr>
              <w:instrText xml:space="preserve"> PAGEREF _Toc235041903 \h </w:instrText>
            </w:r>
            <w:r>
              <w:rPr>
                <w:noProof/>
                <w:webHidden/>
              </w:rPr>
            </w:r>
            <w:r>
              <w:rPr>
                <w:noProof/>
                <w:webHidden/>
              </w:rPr>
              <w:fldChar w:fldCharType="separate"/>
            </w:r>
            <w:r w:rsidR="00391BE2">
              <w:rPr>
                <w:noProof/>
                <w:webHidden/>
              </w:rPr>
              <w:t>7</w:t>
            </w:r>
            <w:r>
              <w:rPr>
                <w:noProof/>
                <w:webHidden/>
              </w:rPr>
              <w:fldChar w:fldCharType="end"/>
            </w:r>
          </w:hyperlink>
        </w:p>
        <w:p w14:paraId="07E2E162" w14:textId="1A3C0EBA" w:rsidR="00EB39B5" w:rsidRDefault="00EB39B5">
          <w:pPr>
            <w:pStyle w:val="TOC1"/>
            <w:tabs>
              <w:tab w:val="right" w:leader="dot" w:pos="9016"/>
            </w:tabs>
            <w:rPr>
              <w:rFonts w:asciiTheme="minorHAnsi" w:eastAsiaTheme="minorEastAsia" w:hAnsiTheme="minorHAnsi" w:cstheme="minorBidi"/>
              <w:noProof/>
              <w:lang w:bidi="si-LK"/>
            </w:rPr>
          </w:pPr>
          <w:hyperlink w:anchor="_Toc235041904" w:history="1">
            <w:r w:rsidRPr="005E2A9B">
              <w:rPr>
                <w:rStyle w:val="Hyperlink"/>
                <w:rFonts w:ascii="Times New Roman" w:hAnsi="Times New Roman" w:cs="Times New Roman"/>
                <w:noProof/>
              </w:rPr>
              <w:t>Data Enrichment via API</w:t>
            </w:r>
            <w:r>
              <w:rPr>
                <w:noProof/>
                <w:webHidden/>
              </w:rPr>
              <w:tab/>
            </w:r>
            <w:r>
              <w:rPr>
                <w:noProof/>
                <w:webHidden/>
              </w:rPr>
              <w:fldChar w:fldCharType="begin"/>
            </w:r>
            <w:r>
              <w:rPr>
                <w:noProof/>
                <w:webHidden/>
              </w:rPr>
              <w:instrText xml:space="preserve"> PAGEREF _Toc235041904 \h </w:instrText>
            </w:r>
            <w:r>
              <w:rPr>
                <w:noProof/>
                <w:webHidden/>
              </w:rPr>
            </w:r>
            <w:r>
              <w:rPr>
                <w:noProof/>
                <w:webHidden/>
              </w:rPr>
              <w:fldChar w:fldCharType="separate"/>
            </w:r>
            <w:r w:rsidR="00391BE2">
              <w:rPr>
                <w:noProof/>
                <w:webHidden/>
              </w:rPr>
              <w:t>9</w:t>
            </w:r>
            <w:r>
              <w:rPr>
                <w:noProof/>
                <w:webHidden/>
              </w:rPr>
              <w:fldChar w:fldCharType="end"/>
            </w:r>
          </w:hyperlink>
        </w:p>
        <w:p w14:paraId="25ED2241" w14:textId="61517510" w:rsidR="00EB39B5" w:rsidRDefault="00EB39B5">
          <w:pPr>
            <w:pStyle w:val="TOC1"/>
            <w:tabs>
              <w:tab w:val="right" w:leader="dot" w:pos="9016"/>
            </w:tabs>
            <w:rPr>
              <w:rFonts w:asciiTheme="minorHAnsi" w:eastAsiaTheme="minorEastAsia" w:hAnsiTheme="minorHAnsi" w:cstheme="minorBidi"/>
              <w:noProof/>
              <w:lang w:bidi="si-LK"/>
            </w:rPr>
          </w:pPr>
          <w:hyperlink w:anchor="_Toc235041905" w:history="1">
            <w:r w:rsidRPr="005E2A9B">
              <w:rPr>
                <w:rStyle w:val="Hyperlink"/>
                <w:rFonts w:ascii="Times New Roman" w:hAnsi="Times New Roman" w:cs="Times New Roman"/>
                <w:noProof/>
              </w:rPr>
              <w:t>Recommendations, Ethics &amp; Limitations</w:t>
            </w:r>
            <w:r>
              <w:rPr>
                <w:noProof/>
                <w:webHidden/>
              </w:rPr>
              <w:tab/>
            </w:r>
            <w:r>
              <w:rPr>
                <w:noProof/>
                <w:webHidden/>
              </w:rPr>
              <w:fldChar w:fldCharType="begin"/>
            </w:r>
            <w:r>
              <w:rPr>
                <w:noProof/>
                <w:webHidden/>
              </w:rPr>
              <w:instrText xml:space="preserve"> PAGEREF _Toc235041905 \h </w:instrText>
            </w:r>
            <w:r>
              <w:rPr>
                <w:noProof/>
                <w:webHidden/>
              </w:rPr>
            </w:r>
            <w:r>
              <w:rPr>
                <w:noProof/>
                <w:webHidden/>
              </w:rPr>
              <w:fldChar w:fldCharType="separate"/>
            </w:r>
            <w:r w:rsidR="00391BE2">
              <w:rPr>
                <w:noProof/>
                <w:webHidden/>
              </w:rPr>
              <w:t>9</w:t>
            </w:r>
            <w:r>
              <w:rPr>
                <w:noProof/>
                <w:webHidden/>
              </w:rPr>
              <w:fldChar w:fldCharType="end"/>
            </w:r>
          </w:hyperlink>
        </w:p>
        <w:p w14:paraId="1547CD31" w14:textId="0C98BEBD" w:rsidR="00EB39B5" w:rsidRDefault="00EB39B5">
          <w:pPr>
            <w:pStyle w:val="TOC1"/>
            <w:tabs>
              <w:tab w:val="right" w:leader="dot" w:pos="9016"/>
            </w:tabs>
            <w:rPr>
              <w:rFonts w:asciiTheme="minorHAnsi" w:eastAsiaTheme="minorEastAsia" w:hAnsiTheme="minorHAnsi" w:cstheme="minorBidi"/>
              <w:noProof/>
              <w:lang w:bidi="si-LK"/>
            </w:rPr>
          </w:pPr>
          <w:hyperlink w:anchor="_Toc235041906" w:history="1">
            <w:r w:rsidRPr="005E2A9B">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_Toc235041906 \h </w:instrText>
            </w:r>
            <w:r>
              <w:rPr>
                <w:noProof/>
                <w:webHidden/>
              </w:rPr>
            </w:r>
            <w:r>
              <w:rPr>
                <w:noProof/>
                <w:webHidden/>
              </w:rPr>
              <w:fldChar w:fldCharType="separate"/>
            </w:r>
            <w:r w:rsidR="00391BE2">
              <w:rPr>
                <w:noProof/>
                <w:webHidden/>
              </w:rPr>
              <w:t>11</w:t>
            </w:r>
            <w:r>
              <w:rPr>
                <w:noProof/>
                <w:webHidden/>
              </w:rPr>
              <w:fldChar w:fldCharType="end"/>
            </w:r>
          </w:hyperlink>
        </w:p>
        <w:p w14:paraId="6B74EBAD" w14:textId="7E977F67" w:rsidR="00FC09DE" w:rsidRPr="00EB39B5" w:rsidRDefault="00FC09DE">
          <w:pPr>
            <w:rPr>
              <w:rFonts w:ascii="Times New Roman" w:hAnsi="Times New Roman" w:cs="Times New Roman"/>
            </w:rPr>
          </w:pPr>
          <w:r w:rsidRPr="00EB39B5">
            <w:rPr>
              <w:rFonts w:ascii="Times New Roman" w:hAnsi="Times New Roman" w:cs="Times New Roman"/>
              <w:b/>
              <w:bCs/>
              <w:noProof/>
            </w:rPr>
            <w:fldChar w:fldCharType="end"/>
          </w:r>
        </w:p>
      </w:sdtContent>
    </w:sdt>
    <w:p w14:paraId="195A780B" w14:textId="77777777" w:rsidR="00486A46" w:rsidRPr="00EB39B5" w:rsidRDefault="00D027D9">
      <w:pPr>
        <w:rPr>
          <w:rFonts w:ascii="Times New Roman" w:hAnsi="Times New Roman" w:cs="Times New Roman"/>
        </w:rPr>
      </w:pPr>
      <w:r w:rsidRPr="00EB39B5">
        <w:rPr>
          <w:rFonts w:ascii="Times New Roman" w:hAnsi="Times New Roman" w:cs="Times New Roman"/>
        </w:rPr>
        <w:br w:type="page"/>
      </w:r>
    </w:p>
    <w:p w14:paraId="3EBBFAFD" w14:textId="77777777" w:rsidR="00486A46" w:rsidRPr="00EB39B5" w:rsidRDefault="00486A46">
      <w:pPr>
        <w:rPr>
          <w:rFonts w:ascii="Times New Roman" w:hAnsi="Times New Roman" w:cs="Times New Roman"/>
        </w:rPr>
        <w:sectPr w:rsidR="00486A46" w:rsidRPr="00EB39B5">
          <w:pgSz w:w="11906" w:h="16838"/>
          <w:pgMar w:top="1440" w:right="1440" w:bottom="1440" w:left="1440" w:header="708" w:footer="708" w:gutter="0"/>
          <w:cols w:space="720"/>
          <w:docGrid w:linePitch="360"/>
        </w:sectPr>
      </w:pPr>
    </w:p>
    <w:p w14:paraId="4C989034" w14:textId="77777777" w:rsidR="00486A46" w:rsidRPr="00EB39B5" w:rsidRDefault="00D027D9">
      <w:pPr>
        <w:pStyle w:val="Heading1"/>
        <w:rPr>
          <w:rFonts w:ascii="Times New Roman" w:hAnsi="Times New Roman" w:cs="Times New Roman"/>
        </w:rPr>
      </w:pPr>
      <w:bookmarkStart w:id="1" w:name="_Toc235041899"/>
      <w:r w:rsidRPr="00EB39B5">
        <w:rPr>
          <w:rFonts w:ascii="Times New Roman" w:hAnsi="Times New Roman" w:cs="Times New Roman"/>
        </w:rPr>
        <w:lastRenderedPageBreak/>
        <w:t>Executive Summary</w:t>
      </w:r>
      <w:bookmarkEnd w:id="1"/>
    </w:p>
    <w:p w14:paraId="13E101FF" w14:textId="77777777" w:rsidR="00486A46" w:rsidRPr="00EB39B5" w:rsidRDefault="00D027D9">
      <w:pPr>
        <w:spacing w:after="160" w:line="276" w:lineRule="auto"/>
        <w:jc w:val="both"/>
        <w:rPr>
          <w:rFonts w:ascii="Times New Roman" w:hAnsi="Times New Roman" w:cs="Times New Roman"/>
        </w:rPr>
      </w:pPr>
      <w:proofErr w:type="spellStart"/>
      <w:r w:rsidRPr="00EB39B5">
        <w:rPr>
          <w:rFonts w:ascii="Times New Roman" w:hAnsi="Times New Roman" w:cs="Times New Roman"/>
        </w:rPr>
        <w:t>FinTrust</w:t>
      </w:r>
      <w:proofErr w:type="spellEnd"/>
      <w:r w:rsidRPr="00EB39B5">
        <w:rPr>
          <w:rFonts w:ascii="Times New Roman" w:hAnsi="Times New Roman" w:cs="Times New Roman"/>
        </w:rPr>
        <w:t xml:space="preserve"> Digital Finance holds a portfolio of 30,000 credit-card accounts, of which 22.1% defaulted in the following month. This is a costly and largely unmanaged risk: collections decisions today are manual and intuitive rather than data-driven. This report translates six months of billing, repayment, and demographic history into an evidence-based, ready-to-deploy risk-monitoring framework.</w:t>
      </w:r>
    </w:p>
    <w:p w14:paraId="3A1644B7" w14:textId="0128D8B9" w:rsidR="00486A46" w:rsidRPr="00EB39B5" w:rsidRDefault="00D027D9">
      <w:pPr>
        <w:spacing w:after="160" w:line="276" w:lineRule="auto"/>
        <w:jc w:val="both"/>
        <w:rPr>
          <w:rFonts w:ascii="Times New Roman" w:hAnsi="Times New Roman" w:cs="Times New Roman"/>
        </w:rPr>
      </w:pPr>
      <w:r w:rsidRPr="00EB39B5">
        <w:rPr>
          <w:rFonts w:ascii="Times New Roman" w:hAnsi="Times New Roman" w:cs="Times New Roman"/>
        </w:rPr>
        <w:t xml:space="preserve">Three findings stand out. First, default risk is overwhelmingly a </w:t>
      </w:r>
      <w:r w:rsidR="00EB39B5" w:rsidRPr="00EB39B5">
        <w:rPr>
          <w:rFonts w:ascii="Times New Roman" w:hAnsi="Times New Roman" w:cs="Times New Roman"/>
        </w:rPr>
        <w:t>behavioral</w:t>
      </w:r>
      <w:r w:rsidRPr="00EB39B5">
        <w:rPr>
          <w:rFonts w:ascii="Times New Roman" w:hAnsi="Times New Roman" w:cs="Times New Roman"/>
        </w:rPr>
        <w:t xml:space="preserve"> signal, not a demographic one: the single most predictive variable in the portfolio is a customer's most recent repayment status, far outweighing age, education, or marital status. Second, risk compounds rather than adds: customers who are both running close to their credit limit and repaying weakly default at more than double the rate of customers with only one of those problems. Third, when we translate these </w:t>
      </w:r>
      <w:r w:rsidR="00EB39B5" w:rsidRPr="00EB39B5">
        <w:rPr>
          <w:rFonts w:ascii="Times New Roman" w:hAnsi="Times New Roman" w:cs="Times New Roman"/>
        </w:rPr>
        <w:t>behavioral</w:t>
      </w:r>
      <w:r w:rsidRPr="00EB39B5">
        <w:rPr>
          <w:rFonts w:ascii="Times New Roman" w:hAnsi="Times New Roman" w:cs="Times New Roman"/>
        </w:rPr>
        <w:t xml:space="preserve"> signals into a four-tier segmentation, one segment representing 21.5% of the book (6,453 customers) accounts for a default rate of 47.8% — more than double the portfolio average and nearly four times the rate of our healthiest customers.</w:t>
      </w:r>
    </w:p>
    <w:p w14:paraId="0356F959" w14:textId="77777777" w:rsidR="00486A46" w:rsidRPr="00EB39B5" w:rsidRDefault="00D027D9">
      <w:pPr>
        <w:spacing w:after="160" w:line="276" w:lineRule="auto"/>
        <w:jc w:val="both"/>
        <w:rPr>
          <w:rFonts w:ascii="Times New Roman" w:hAnsi="Times New Roman" w:cs="Times New Roman"/>
        </w:rPr>
      </w:pPr>
      <w:r w:rsidRPr="00EB39B5">
        <w:rPr>
          <w:rFonts w:ascii="Times New Roman" w:hAnsi="Times New Roman" w:cs="Times New Roman"/>
        </w:rPr>
        <w:t>Our top three recommendations are:</w:t>
      </w:r>
    </w:p>
    <w:p w14:paraId="3AA88F25" w14:textId="3D2465A1" w:rsidR="00486A46" w:rsidRPr="00EB39B5" w:rsidRDefault="00D027D9">
      <w:pPr>
        <w:pStyle w:val="ListParagraph"/>
        <w:numPr>
          <w:ilvl w:val="0"/>
          <w:numId w:val="1"/>
        </w:numPr>
        <w:spacing w:after="120" w:line="276" w:lineRule="auto"/>
        <w:rPr>
          <w:rFonts w:ascii="Times New Roman" w:hAnsi="Times New Roman" w:cs="Times New Roman"/>
        </w:rPr>
      </w:pPr>
      <w:r w:rsidRPr="00EB39B5">
        <w:rPr>
          <w:rFonts w:ascii="Times New Roman" w:hAnsi="Times New Roman" w:cs="Times New Roman"/>
        </w:rPr>
        <w:t xml:space="preserve">Deploy the recency-weighted risk score built in this project as the primary early-warning trigger for collections and credit-review workflows, since the most recent month's repayment </w:t>
      </w:r>
      <w:r w:rsidR="00EB39B5" w:rsidRPr="00EB39B5">
        <w:rPr>
          <w:rFonts w:ascii="Times New Roman" w:hAnsi="Times New Roman" w:cs="Times New Roman"/>
        </w:rPr>
        <w:t>behavior</w:t>
      </w:r>
      <w:r w:rsidRPr="00EB39B5">
        <w:rPr>
          <w:rFonts w:ascii="Times New Roman" w:hAnsi="Times New Roman" w:cs="Times New Roman"/>
        </w:rPr>
        <w:t xml:space="preserve"> carries far more predictive weight than older history.</w:t>
      </w:r>
    </w:p>
    <w:p w14:paraId="6F8840AD" w14:textId="5EB6D575" w:rsidR="00486A46" w:rsidRPr="00EB39B5" w:rsidRDefault="00D027D9">
      <w:pPr>
        <w:pStyle w:val="ListParagraph"/>
        <w:numPr>
          <w:ilvl w:val="0"/>
          <w:numId w:val="1"/>
        </w:numPr>
        <w:spacing w:after="120" w:line="276" w:lineRule="auto"/>
        <w:rPr>
          <w:rFonts w:ascii="Times New Roman" w:hAnsi="Times New Roman" w:cs="Times New Roman"/>
        </w:rPr>
      </w:pPr>
      <w:r w:rsidRPr="00EB39B5">
        <w:rPr>
          <w:rFonts w:ascii="Times New Roman" w:hAnsi="Times New Roman" w:cs="Times New Roman"/>
        </w:rPr>
        <w:t>Treat credit-limit exposure and repayment capacity as a joint decision, not two separate checks — a high-</w:t>
      </w:r>
      <w:r w:rsidR="00EB39B5" w:rsidRPr="00EB39B5">
        <w:rPr>
          <w:rFonts w:ascii="Times New Roman" w:hAnsi="Times New Roman" w:cs="Times New Roman"/>
        </w:rPr>
        <w:t>utilization</w:t>
      </w:r>
      <w:r w:rsidRPr="00EB39B5">
        <w:rPr>
          <w:rFonts w:ascii="Times New Roman" w:hAnsi="Times New Roman" w:cs="Times New Roman"/>
        </w:rPr>
        <w:t xml:space="preserve"> customer who still pays reliably should be managed very differently from one who is also falling behind.</w:t>
      </w:r>
    </w:p>
    <w:p w14:paraId="59261C91" w14:textId="77777777" w:rsidR="00486A46" w:rsidRPr="00EB39B5" w:rsidRDefault="00D027D9">
      <w:pPr>
        <w:pStyle w:val="ListParagraph"/>
        <w:numPr>
          <w:ilvl w:val="0"/>
          <w:numId w:val="1"/>
        </w:numPr>
        <w:spacing w:after="120" w:line="276" w:lineRule="auto"/>
        <w:rPr>
          <w:rFonts w:ascii="Times New Roman" w:hAnsi="Times New Roman" w:cs="Times New Roman"/>
        </w:rPr>
      </w:pPr>
      <w:r w:rsidRPr="00EB39B5">
        <w:rPr>
          <w:rFonts w:ascii="Times New Roman" w:hAnsi="Times New Roman" w:cs="Times New Roman"/>
        </w:rPr>
        <w:t>Route the "Critical/Intervention" segment (21.5% of accounts, 47.8% default rate) into a structured, supportive restructuring pathway rather than blanket collections pressure, while reserving light-touch reminders for the much larger and much safer "Healthy" and "Watchlist" segments.</w:t>
      </w:r>
    </w:p>
    <w:p w14:paraId="2622B9EC" w14:textId="45708BE8" w:rsidR="00486A46" w:rsidRPr="00EB39B5" w:rsidRDefault="00D027D9">
      <w:pPr>
        <w:spacing w:after="160" w:line="276" w:lineRule="auto"/>
        <w:jc w:val="both"/>
        <w:rPr>
          <w:rFonts w:ascii="Times New Roman" w:hAnsi="Times New Roman" w:cs="Times New Roman"/>
        </w:rPr>
      </w:pPr>
      <w:r w:rsidRPr="00EB39B5">
        <w:rPr>
          <w:rFonts w:ascii="Times New Roman" w:hAnsi="Times New Roman" w:cs="Times New Roman"/>
        </w:rPr>
        <w:t xml:space="preserve">Implemented together, this framework lets </w:t>
      </w:r>
      <w:proofErr w:type="spellStart"/>
      <w:r w:rsidRPr="00EB39B5">
        <w:rPr>
          <w:rFonts w:ascii="Times New Roman" w:hAnsi="Times New Roman" w:cs="Times New Roman"/>
        </w:rPr>
        <w:t>FinTrust</w:t>
      </w:r>
      <w:proofErr w:type="spellEnd"/>
      <w:r w:rsidRPr="00EB39B5">
        <w:rPr>
          <w:rFonts w:ascii="Times New Roman" w:hAnsi="Times New Roman" w:cs="Times New Roman"/>
        </w:rPr>
        <w:t xml:space="preserve"> concentrate its limited collections and credit-review resources on the smaller pool of accounts that drive a disproportionate share of </w:t>
      </w:r>
      <w:r w:rsidR="00EB39B5" w:rsidRPr="00EB39B5">
        <w:rPr>
          <w:rFonts w:ascii="Times New Roman" w:hAnsi="Times New Roman" w:cs="Times New Roman"/>
        </w:rPr>
        <w:t>realized</w:t>
      </w:r>
      <w:r w:rsidRPr="00EB39B5">
        <w:rPr>
          <w:rFonts w:ascii="Times New Roman" w:hAnsi="Times New Roman" w:cs="Times New Roman"/>
        </w:rPr>
        <w:t xml:space="preserve"> losses, while treating the majority of customers fairly and without unnecessary friction.</w:t>
      </w:r>
    </w:p>
    <w:p w14:paraId="1D436502" w14:textId="77777777" w:rsidR="00486A46" w:rsidRPr="00EB39B5" w:rsidRDefault="00D027D9">
      <w:pPr>
        <w:pStyle w:val="Heading1"/>
        <w:rPr>
          <w:rFonts w:ascii="Times New Roman" w:hAnsi="Times New Roman" w:cs="Times New Roman"/>
        </w:rPr>
      </w:pPr>
      <w:bookmarkStart w:id="2" w:name="_Toc235041900"/>
      <w:r w:rsidRPr="00EB39B5">
        <w:rPr>
          <w:rFonts w:ascii="Times New Roman" w:hAnsi="Times New Roman" w:cs="Times New Roman"/>
        </w:rPr>
        <w:t>Introduction</w:t>
      </w:r>
      <w:bookmarkEnd w:id="2"/>
    </w:p>
    <w:p w14:paraId="3D86C223" w14:textId="77777777" w:rsidR="00486A46" w:rsidRPr="00EB39B5" w:rsidRDefault="00D027D9">
      <w:pPr>
        <w:spacing w:after="160" w:line="276" w:lineRule="auto"/>
        <w:jc w:val="both"/>
        <w:rPr>
          <w:rFonts w:ascii="Times New Roman" w:hAnsi="Times New Roman" w:cs="Times New Roman"/>
        </w:rPr>
      </w:pPr>
      <w:proofErr w:type="spellStart"/>
      <w:r w:rsidRPr="00EB39B5">
        <w:rPr>
          <w:rFonts w:ascii="Times New Roman" w:hAnsi="Times New Roman" w:cs="Times New Roman"/>
        </w:rPr>
        <w:t>FinTrust</w:t>
      </w:r>
      <w:proofErr w:type="spellEnd"/>
      <w:r w:rsidRPr="00EB39B5">
        <w:rPr>
          <w:rFonts w:ascii="Times New Roman" w:hAnsi="Times New Roman" w:cs="Times New Roman"/>
        </w:rPr>
        <w:t xml:space="preserve"> Digital Finance issues credit cards and short-term personal credit to salaried customers and has accumulated substantial account and repayment history. Historically, credit monitoring and collections decisions have relied on manual review and individual judgement rather than systematic analysis. As the loan book has grown, this approach no longer scales and exposes the business to inconsistent decisions and avoidable losses.</w:t>
      </w:r>
    </w:p>
    <w:p w14:paraId="75D28C55" w14:textId="2A6D53C8" w:rsidR="00486A46" w:rsidRPr="00EB39B5" w:rsidRDefault="00D027D9">
      <w:pPr>
        <w:spacing w:after="160" w:line="276" w:lineRule="auto"/>
        <w:jc w:val="both"/>
        <w:rPr>
          <w:rFonts w:ascii="Times New Roman" w:hAnsi="Times New Roman" w:cs="Times New Roman"/>
        </w:rPr>
      </w:pPr>
      <w:r w:rsidRPr="00EB39B5">
        <w:rPr>
          <w:rFonts w:ascii="Times New Roman" w:hAnsi="Times New Roman" w:cs="Times New Roman"/>
        </w:rPr>
        <w:t xml:space="preserve">The board commissioned this analysis to answer five questions: how default risk varies across customer groups; which repayment </w:t>
      </w:r>
      <w:r w:rsidR="00EB39B5" w:rsidRPr="00EB39B5">
        <w:rPr>
          <w:rFonts w:ascii="Times New Roman" w:hAnsi="Times New Roman" w:cs="Times New Roman"/>
        </w:rPr>
        <w:t>behaviors</w:t>
      </w:r>
      <w:r w:rsidRPr="00EB39B5">
        <w:rPr>
          <w:rFonts w:ascii="Times New Roman" w:hAnsi="Times New Roman" w:cs="Times New Roman"/>
        </w:rPr>
        <w:t xml:space="preserve"> are the strongest early-warning signals; where the company is over-exposed through the combination of high credit limits and weak repayment; whether customers can be grouped into meaningful financial-health segments; and how each segment should be managed differently while remaining fair and transparent. This report answers each question in turn, moving from descriptive analysis through to a deployable segmentation and action framework.</w:t>
      </w:r>
    </w:p>
    <w:p w14:paraId="295E8DFE" w14:textId="4C87DA1D" w:rsidR="00486A46" w:rsidRPr="00EB39B5" w:rsidRDefault="00D027D9">
      <w:pPr>
        <w:spacing w:after="160" w:line="276" w:lineRule="auto"/>
        <w:jc w:val="both"/>
        <w:rPr>
          <w:rFonts w:ascii="Times New Roman" w:hAnsi="Times New Roman" w:cs="Times New Roman"/>
        </w:rPr>
      </w:pPr>
      <w:r w:rsidRPr="00EB39B5">
        <w:rPr>
          <w:rFonts w:ascii="Times New Roman" w:hAnsi="Times New Roman" w:cs="Times New Roman"/>
        </w:rPr>
        <w:lastRenderedPageBreak/>
        <w:t xml:space="preserve">Our objective throughout has been to produce something the board can act on directly, not simply a description of the data. Every section below is built around a decision: which customers need attention this month, which </w:t>
      </w:r>
      <w:r w:rsidR="00EB39B5" w:rsidRPr="00EB39B5">
        <w:rPr>
          <w:rFonts w:ascii="Times New Roman" w:hAnsi="Times New Roman" w:cs="Times New Roman"/>
        </w:rPr>
        <w:t>behavioral</w:t>
      </w:r>
      <w:r w:rsidRPr="00EB39B5">
        <w:rPr>
          <w:rFonts w:ascii="Times New Roman" w:hAnsi="Times New Roman" w:cs="Times New Roman"/>
        </w:rPr>
        <w:t xml:space="preserve"> signal should trigger that attention, and what a fair and proportionate response looks like once a customer has been flagged. Where the data supports a clear, testable conclusion, we state it plainly; where a finding should be treated as a starting hypothesis rather than a settled fact, we say so explicitly in the Limitations section, so the board can weigh confidence alongside each recommendation.</w:t>
      </w:r>
    </w:p>
    <w:p w14:paraId="2B7A1F84" w14:textId="77777777" w:rsidR="00486A46" w:rsidRPr="00EB39B5" w:rsidRDefault="00D027D9">
      <w:pPr>
        <w:pStyle w:val="Heading1"/>
        <w:rPr>
          <w:rFonts w:ascii="Times New Roman" w:hAnsi="Times New Roman" w:cs="Times New Roman"/>
        </w:rPr>
      </w:pPr>
      <w:bookmarkStart w:id="3" w:name="_Toc235041901"/>
      <w:r w:rsidRPr="00EB39B5">
        <w:rPr>
          <w:rFonts w:ascii="Times New Roman" w:hAnsi="Times New Roman" w:cs="Times New Roman"/>
        </w:rPr>
        <w:t>Data &amp; Methodology</w:t>
      </w:r>
      <w:bookmarkEnd w:id="3"/>
    </w:p>
    <w:p w14:paraId="0717E76B" w14:textId="77777777" w:rsidR="00486A46" w:rsidRPr="00EB39B5" w:rsidRDefault="00D027D9">
      <w:pPr>
        <w:spacing w:after="160" w:line="276" w:lineRule="auto"/>
        <w:jc w:val="both"/>
        <w:rPr>
          <w:rFonts w:ascii="Times New Roman" w:hAnsi="Times New Roman" w:cs="Times New Roman"/>
        </w:rPr>
      </w:pPr>
      <w:r w:rsidRPr="00EB39B5">
        <w:rPr>
          <w:rFonts w:ascii="Times New Roman" w:hAnsi="Times New Roman" w:cs="Times New Roman"/>
        </w:rPr>
        <w:t>The analysis is based on the public "Default of Credit Card Clients" dataset (UCI Machine Learning Repository), comprising 30,000 customer accounts with demographics, granted credit limits, six months of billing and repayment history (in New Taiwan Dollars), and a flag for default in the following month.</w:t>
      </w:r>
    </w:p>
    <w:p w14:paraId="3B15ACE4" w14:textId="77777777" w:rsidR="00486A46" w:rsidRPr="00EB39B5" w:rsidRDefault="00D027D9">
      <w:pPr>
        <w:spacing w:after="160" w:line="276" w:lineRule="auto"/>
        <w:jc w:val="both"/>
        <w:rPr>
          <w:rFonts w:ascii="Times New Roman" w:hAnsi="Times New Roman" w:cs="Times New Roman"/>
        </w:rPr>
      </w:pPr>
      <w:r w:rsidRPr="00EB39B5">
        <w:rPr>
          <w:rFonts w:ascii="Times New Roman" w:hAnsi="Times New Roman" w:cs="Times New Roman"/>
        </w:rPr>
        <w:t>Before analysis, the data was audited and cleaned. No missing values or duplicate records were found. However, the demographic fields contained undocumented codes: EDUCATION included three codes (0, 5, 6) beyond the four documented categories, and MARRIAGE included one undocumented code (0). Rather than deleting these records — which together represent under 2% of the base but still correspond to hundreds of real customer accounts — we labelled them explicitly as "Unknown" so they remain visible and auditable rather than silently disappearing or being folded into an existing category. All numeric fields (age, repayment-status codes, bill and payment amounts) were validated against plausible ranges. During outlier analysis, several extreme payments and bill statements exceeding 3x the 99.9th percentile were flagged. We deliberately retained these outliers rather than removing them; in a credit portfolio, high-value statements and major overpayments represent real customer transactions, and discarding them would artificially suppress the exposure calculations. Negative bill amounts were also retained deliberately, since they represent genuine credit or overpayment balances rather than data errors.</w:t>
      </w:r>
    </w:p>
    <w:p w14:paraId="4996896F" w14:textId="17FAA7F5" w:rsidR="00486A46" w:rsidRPr="00EB39B5" w:rsidRDefault="00D027D9">
      <w:pPr>
        <w:spacing w:after="160" w:line="276" w:lineRule="auto"/>
        <w:jc w:val="both"/>
        <w:rPr>
          <w:rFonts w:ascii="Times New Roman" w:hAnsi="Times New Roman" w:cs="Times New Roman"/>
        </w:rPr>
      </w:pPr>
      <w:r w:rsidRPr="00EB39B5">
        <w:rPr>
          <w:rFonts w:ascii="Times New Roman" w:hAnsi="Times New Roman" w:cs="Times New Roman"/>
        </w:rPr>
        <w:t xml:space="preserve">We then engineered a set of </w:t>
      </w:r>
      <w:r w:rsidR="00EB39B5" w:rsidRPr="00EB39B5">
        <w:rPr>
          <w:rFonts w:ascii="Times New Roman" w:hAnsi="Times New Roman" w:cs="Times New Roman"/>
        </w:rPr>
        <w:t>behavioral</w:t>
      </w:r>
      <w:r w:rsidRPr="00EB39B5">
        <w:rPr>
          <w:rFonts w:ascii="Times New Roman" w:hAnsi="Times New Roman" w:cs="Times New Roman"/>
        </w:rPr>
        <w:t xml:space="preserve"> features to power the analysis: average bill and payment amounts across the six months, a payment-to-bill ratio measuring repayment capacity, a count of delayed months and maximum delay observed, a balance-trend indicator comparing the most recent and oldest bills, and a credit-</w:t>
      </w:r>
      <w:r w:rsidR="00EB39B5" w:rsidRPr="00EB39B5">
        <w:rPr>
          <w:rFonts w:ascii="Times New Roman" w:hAnsi="Times New Roman" w:cs="Times New Roman"/>
        </w:rPr>
        <w:t>utilization</w:t>
      </w:r>
      <w:r w:rsidRPr="00EB39B5">
        <w:rPr>
          <w:rFonts w:ascii="Times New Roman" w:hAnsi="Times New Roman" w:cs="Times New Roman"/>
        </w:rPr>
        <w:t xml:space="preserve"> ratio comparing average outstanding balance to the granted limit. Where a calculation risked dividing by zero — for example, computing a payment-to-bill ratio for a customer with no outstanding balance in a given month — we applied an explicit rule rather than letting the calculation fail or silently produce a misleading figure, treating a fully-covered zero balance as a ratio of 1.0 and an untouched zero balance as 0.0. The cleaned, feature-engineered dataset was exported to a CSV file for reproducibility and forms the basis for every subsequent phase of this report, including the segmentation model and the currency enrichment described later.</w:t>
      </w:r>
    </w:p>
    <w:p w14:paraId="2F2342AA" w14:textId="77777777" w:rsidR="00486A46" w:rsidRPr="00EB39B5" w:rsidRDefault="00D027D9">
      <w:pPr>
        <w:spacing w:after="160" w:line="276" w:lineRule="auto"/>
        <w:jc w:val="both"/>
        <w:rPr>
          <w:rFonts w:ascii="Times New Roman" w:hAnsi="Times New Roman" w:cs="Times New Roman"/>
        </w:rPr>
      </w:pPr>
      <w:r w:rsidRPr="00EB39B5">
        <w:rPr>
          <w:rFonts w:ascii="Times New Roman" w:hAnsi="Times New Roman" w:cs="Times New Roman"/>
        </w:rPr>
        <w:t>This methodology was deliberately kept interpretable at every step. Rather than fitting a black-box predictive model, we built each risk indicator from a named, explainable calculation, so that any figure quoted in this report — or any customer's segment label — can be traced back to a specific, auditable rule. We consider this an important design choice for a credit-risk tool that will directly influence how real customers are treated, and we return to the trade-offs of this choice in the Limitations section.</w:t>
      </w:r>
    </w:p>
    <w:p w14:paraId="76C13757" w14:textId="77777777" w:rsidR="00486A46" w:rsidRPr="00EB39B5" w:rsidRDefault="00D027D9">
      <w:pPr>
        <w:pStyle w:val="Heading1"/>
        <w:rPr>
          <w:rFonts w:ascii="Times New Roman" w:hAnsi="Times New Roman" w:cs="Times New Roman"/>
        </w:rPr>
      </w:pPr>
      <w:bookmarkStart w:id="4" w:name="_Toc235041902"/>
      <w:r w:rsidRPr="00EB39B5">
        <w:rPr>
          <w:rFonts w:ascii="Times New Roman" w:hAnsi="Times New Roman" w:cs="Times New Roman"/>
        </w:rPr>
        <w:t>Credit Risk &amp; Repayment Analysis</w:t>
      </w:r>
      <w:bookmarkEnd w:id="4"/>
    </w:p>
    <w:p w14:paraId="6D74FEA9" w14:textId="77777777" w:rsidR="00486A46" w:rsidRPr="00EB39B5" w:rsidRDefault="00D027D9">
      <w:pPr>
        <w:spacing w:after="160" w:line="276" w:lineRule="auto"/>
        <w:jc w:val="both"/>
        <w:rPr>
          <w:rFonts w:ascii="Times New Roman" w:hAnsi="Times New Roman" w:cs="Times New Roman"/>
        </w:rPr>
      </w:pPr>
      <w:r w:rsidRPr="00EB39B5">
        <w:rPr>
          <w:rFonts w:ascii="Times New Roman" w:hAnsi="Times New Roman" w:cs="Times New Roman"/>
        </w:rPr>
        <w:t xml:space="preserve">The overall default rate across the portfolio is 22.1%. This varies meaningfully across customer groups, but the variation is smaller than many stakeholders might expect. By age, the youngest band (18-25) </w:t>
      </w:r>
      <w:r w:rsidRPr="00EB39B5">
        <w:rPr>
          <w:rFonts w:ascii="Times New Roman" w:hAnsi="Times New Roman" w:cs="Times New Roman"/>
        </w:rPr>
        <w:lastRenderedPageBreak/>
        <w:t>and oldest band (60+) show the highest default rates, at 26.7% and 26.8% respectively, against a low of 19.4% for customers aged 31-35 — a life-stage effect rather than a simple "younger customers are riskier" story. By credit-limit tier, default rates fall steadily from 31.8% in the lowest tier to 14.0% in the highest, reflecting that the issuer's own historical underwriting has already screened out some risk at the point of granting larger limits.</w:t>
      </w:r>
    </w:p>
    <w:p w14:paraId="3C5A958D" w14:textId="77777777" w:rsidR="00486A46" w:rsidRPr="00EB39B5" w:rsidRDefault="00D027D9">
      <w:pPr>
        <w:spacing w:after="160" w:line="276" w:lineRule="auto"/>
        <w:jc w:val="both"/>
        <w:rPr>
          <w:rFonts w:ascii="Times New Roman" w:hAnsi="Times New Roman" w:cs="Times New Roman"/>
        </w:rPr>
      </w:pPr>
      <w:r w:rsidRPr="00EB39B5">
        <w:rPr>
          <w:rFonts w:ascii="Times New Roman" w:hAnsi="Times New Roman" w:cs="Times New Roman"/>
        </w:rPr>
        <w:t>Education and marital status show more modest but measurable differentiation. Default rates fall steadily with education, from 25.2% (High School) to 23.7% (University) to 19.2% (Graduate School); the low rates in the small "Unknown" and "Others" categories (7.5% and 5.7%) reflect sample size, not genuinely lower risk. By marital status, "Others" default most (26.0%), followed by Married (23.5%) and Single (20.9%). All four splits appear together in Figure 1 against the portfolio average.</w:t>
      </w:r>
    </w:p>
    <w:p w14:paraId="7A281B4F" w14:textId="77777777" w:rsidR="00486A46" w:rsidRPr="00EB39B5" w:rsidRDefault="00D027D9">
      <w:pPr>
        <w:spacing w:before="200" w:after="80"/>
        <w:jc w:val="center"/>
        <w:rPr>
          <w:rFonts w:ascii="Times New Roman" w:hAnsi="Times New Roman" w:cs="Times New Roman"/>
        </w:rPr>
      </w:pPr>
      <w:r w:rsidRPr="00EB39B5">
        <w:rPr>
          <w:rFonts w:ascii="Times New Roman" w:hAnsi="Times New Roman" w:cs="Times New Roman"/>
          <w:noProof/>
        </w:rPr>
        <w:drawing>
          <wp:inline distT="0" distB="0" distL="0" distR="0" wp14:anchorId="63846B76" wp14:editId="6A1B6A2D">
            <wp:extent cx="5524500" cy="3924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924300"/>
                    </a:xfrm>
                    <a:prstGeom prst="rect">
                      <a:avLst/>
                    </a:prstGeom>
                  </pic:spPr>
                </pic:pic>
              </a:graphicData>
            </a:graphic>
          </wp:inline>
        </w:drawing>
      </w:r>
    </w:p>
    <w:p w14:paraId="6FACA4C6" w14:textId="77777777" w:rsidR="00486A46" w:rsidRPr="00EB39B5" w:rsidRDefault="00D027D9">
      <w:pPr>
        <w:spacing w:after="200"/>
        <w:jc w:val="center"/>
        <w:rPr>
          <w:rFonts w:ascii="Times New Roman" w:hAnsi="Times New Roman" w:cs="Times New Roman"/>
        </w:rPr>
      </w:pPr>
      <w:r w:rsidRPr="00EB39B5">
        <w:rPr>
          <w:rFonts w:ascii="Times New Roman" w:hAnsi="Times New Roman" w:cs="Times New Roman"/>
          <w:i/>
          <w:iCs/>
          <w:color w:val="444444"/>
          <w:sz w:val="18"/>
          <w:szCs w:val="18"/>
        </w:rPr>
        <w:t>Figure 1. Default rate by demographic characteristics (Age Band, Education Level, Marital Status) and Credit-Limit Tier, against the portfolio average (red dashed line).</w:t>
      </w:r>
    </w:p>
    <w:p w14:paraId="4D3A4287" w14:textId="6F4B01CB" w:rsidR="00486A46" w:rsidRPr="00EB39B5" w:rsidRDefault="00D027D9">
      <w:pPr>
        <w:spacing w:after="160" w:line="276" w:lineRule="auto"/>
        <w:jc w:val="both"/>
        <w:rPr>
          <w:rFonts w:ascii="Times New Roman" w:hAnsi="Times New Roman" w:cs="Times New Roman"/>
        </w:rPr>
      </w:pPr>
      <w:r w:rsidRPr="00EB39B5">
        <w:rPr>
          <w:rFonts w:ascii="Times New Roman" w:hAnsi="Times New Roman" w:cs="Times New Roman"/>
        </w:rPr>
        <w:t xml:space="preserve">Far more powerful than any demographic split is repayment </w:t>
      </w:r>
      <w:r w:rsidR="00EB39B5" w:rsidRPr="00EB39B5">
        <w:rPr>
          <w:rFonts w:ascii="Times New Roman" w:hAnsi="Times New Roman" w:cs="Times New Roman"/>
        </w:rPr>
        <w:t>behavior</w:t>
      </w:r>
      <w:r w:rsidRPr="00EB39B5">
        <w:rPr>
          <w:rFonts w:ascii="Times New Roman" w:hAnsi="Times New Roman" w:cs="Times New Roman"/>
        </w:rPr>
        <w:t xml:space="preserve"> itself. When we compare each of the </w:t>
      </w:r>
      <w:r w:rsidR="00EB39B5" w:rsidRPr="00EB39B5">
        <w:rPr>
          <w:rFonts w:ascii="Times New Roman" w:hAnsi="Times New Roman" w:cs="Times New Roman"/>
        </w:rPr>
        <w:t>six-monthly</w:t>
      </w:r>
      <w:r w:rsidRPr="00EB39B5">
        <w:rPr>
          <w:rFonts w:ascii="Times New Roman" w:hAnsi="Times New Roman" w:cs="Times New Roman"/>
        </w:rPr>
        <w:t xml:space="preserve"> repayment-status codes to next-month default, the correlation is strongest for the most recent month (0.325) and weakens steadily for each month further in the past (down to 0.187 for the oldest month). Customers who go on to default carry a visibly more delinquent repayment status in every one of the preceding six months, and the gap between defaulting and non-defaulting customers is widest in the most recent statement cycle. This is the clearest actionable insight in the analysis: a monitoring system that weights the most recent 1-2 months of repayment status will catch far more genuine risk than one that treats all six months equally, or one that relies primarily on demographic profiling.</w:t>
      </w:r>
    </w:p>
    <w:p w14:paraId="4F1725F6" w14:textId="77777777" w:rsidR="00486A46" w:rsidRPr="00EB39B5" w:rsidRDefault="00D027D9">
      <w:pPr>
        <w:spacing w:before="200" w:after="80"/>
        <w:jc w:val="center"/>
        <w:rPr>
          <w:rFonts w:ascii="Times New Roman" w:hAnsi="Times New Roman" w:cs="Times New Roman"/>
        </w:rPr>
      </w:pPr>
      <w:r w:rsidRPr="00EB39B5">
        <w:rPr>
          <w:rFonts w:ascii="Times New Roman" w:hAnsi="Times New Roman" w:cs="Times New Roman"/>
          <w:noProof/>
        </w:rPr>
        <w:lastRenderedPageBreak/>
        <w:drawing>
          <wp:inline distT="0" distB="0" distL="0" distR="0" wp14:anchorId="38C53829" wp14:editId="01084162">
            <wp:extent cx="5524500" cy="3276600"/>
            <wp:effectExtent l="0" t="0" r="0" b="0"/>
            <wp:docPr id="616744033" name="Picture 616744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276600"/>
                    </a:xfrm>
                    <a:prstGeom prst="rect">
                      <a:avLst/>
                    </a:prstGeom>
                  </pic:spPr>
                </pic:pic>
              </a:graphicData>
            </a:graphic>
          </wp:inline>
        </w:drawing>
      </w:r>
    </w:p>
    <w:p w14:paraId="46181DF1" w14:textId="77777777" w:rsidR="00486A46" w:rsidRPr="00EB39B5" w:rsidRDefault="00D027D9">
      <w:pPr>
        <w:spacing w:after="200"/>
        <w:jc w:val="center"/>
        <w:rPr>
          <w:rFonts w:ascii="Times New Roman" w:hAnsi="Times New Roman" w:cs="Times New Roman"/>
        </w:rPr>
      </w:pPr>
      <w:r w:rsidRPr="00EB39B5">
        <w:rPr>
          <w:rFonts w:ascii="Times New Roman" w:hAnsi="Times New Roman" w:cs="Times New Roman"/>
          <w:i/>
          <w:iCs/>
          <w:color w:val="444444"/>
          <w:sz w:val="18"/>
          <w:szCs w:val="18"/>
        </w:rPr>
        <w:t>Figure 2. Average monthly repayment-status code for defaulting vs. non-defaulting customers (Month 1 = most recent).</w:t>
      </w:r>
    </w:p>
    <w:p w14:paraId="26417CA5" w14:textId="77777777" w:rsidR="00486A46" w:rsidRPr="00EB39B5" w:rsidRDefault="00D027D9">
      <w:pPr>
        <w:spacing w:after="160" w:line="276" w:lineRule="auto"/>
        <w:jc w:val="both"/>
        <w:rPr>
          <w:rFonts w:ascii="Times New Roman" w:hAnsi="Times New Roman" w:cs="Times New Roman"/>
        </w:rPr>
      </w:pPr>
      <w:r w:rsidRPr="00EB39B5">
        <w:rPr>
          <w:rFonts w:ascii="Times New Roman" w:hAnsi="Times New Roman" w:cs="Times New Roman"/>
        </w:rPr>
        <w:t>Financial position tells a complementary story. Customers who default do not necessarily carry larger bills — median average bill amounts are broadly similar between defaulting and non-defaulting customers — but they pay back substantially less relative to what they owe. The median payment-to-bill ratio for defaulting customers (0.06) is roughly half that of non-defaulting customers (0.11). This confirms that repayment capacity, not bill size alone, is the financially meaningful signal, and it is why our segmentation framework treats capacity as an independent risk dimension rather than folding it into raw balance figures, as Figure 3 illustrates.</w:t>
      </w:r>
    </w:p>
    <w:p w14:paraId="39579478" w14:textId="77777777" w:rsidR="00486A46" w:rsidRPr="00EB39B5" w:rsidRDefault="00D027D9">
      <w:pPr>
        <w:spacing w:before="200" w:after="80"/>
        <w:jc w:val="center"/>
        <w:rPr>
          <w:rFonts w:ascii="Times New Roman" w:hAnsi="Times New Roman" w:cs="Times New Roman"/>
        </w:rPr>
      </w:pPr>
      <w:r w:rsidRPr="00EB39B5">
        <w:rPr>
          <w:rFonts w:ascii="Times New Roman" w:hAnsi="Times New Roman" w:cs="Times New Roman"/>
          <w:noProof/>
        </w:rPr>
        <w:drawing>
          <wp:inline distT="0" distB="0" distL="0" distR="0" wp14:anchorId="34C100D4" wp14:editId="6B498FA5">
            <wp:extent cx="4572000" cy="2819400"/>
            <wp:effectExtent l="0" t="0" r="0" b="0"/>
            <wp:docPr id="1552103063" name="Picture 1552103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819400"/>
                    </a:xfrm>
                    <a:prstGeom prst="rect">
                      <a:avLst/>
                    </a:prstGeom>
                  </pic:spPr>
                </pic:pic>
              </a:graphicData>
            </a:graphic>
          </wp:inline>
        </w:drawing>
      </w:r>
    </w:p>
    <w:p w14:paraId="6FE780DB" w14:textId="77777777" w:rsidR="00486A46" w:rsidRPr="00EB39B5" w:rsidRDefault="00D027D9">
      <w:pPr>
        <w:spacing w:after="200"/>
        <w:jc w:val="center"/>
        <w:rPr>
          <w:rFonts w:ascii="Times New Roman" w:hAnsi="Times New Roman" w:cs="Times New Roman"/>
        </w:rPr>
      </w:pPr>
      <w:r w:rsidRPr="00EB39B5">
        <w:rPr>
          <w:rFonts w:ascii="Times New Roman" w:hAnsi="Times New Roman" w:cs="Times New Roman"/>
          <w:i/>
          <w:iCs/>
          <w:color w:val="444444"/>
          <w:sz w:val="18"/>
          <w:szCs w:val="18"/>
        </w:rPr>
        <w:t>Figure 3. Distribution of average bill amount and payment-to-bill ratio for defaulting vs. non-defaulting customers.</w:t>
      </w:r>
    </w:p>
    <w:p w14:paraId="1F47336B" w14:textId="3105CFB8" w:rsidR="00486A46" w:rsidRPr="00EB39B5" w:rsidRDefault="00D027D9">
      <w:pPr>
        <w:spacing w:after="160" w:line="276" w:lineRule="auto"/>
        <w:jc w:val="both"/>
        <w:rPr>
          <w:rFonts w:ascii="Times New Roman" w:hAnsi="Times New Roman" w:cs="Times New Roman"/>
        </w:rPr>
      </w:pPr>
      <w:r w:rsidRPr="00EB39B5">
        <w:rPr>
          <w:rFonts w:ascii="Times New Roman" w:hAnsi="Times New Roman" w:cs="Times New Roman"/>
        </w:rPr>
        <w:t xml:space="preserve">A correlation analysis across the full set of </w:t>
      </w:r>
      <w:r w:rsidR="00EB39B5" w:rsidRPr="00EB39B5">
        <w:rPr>
          <w:rFonts w:ascii="Times New Roman" w:hAnsi="Times New Roman" w:cs="Times New Roman"/>
        </w:rPr>
        <w:t>behavioral</w:t>
      </w:r>
      <w:r w:rsidRPr="00EB39B5">
        <w:rPr>
          <w:rFonts w:ascii="Times New Roman" w:hAnsi="Times New Roman" w:cs="Times New Roman"/>
        </w:rPr>
        <w:t xml:space="preserve"> and financial variables reinforces this picture (Figure 4): the number of delayed months (correlation 0.398) and the maximum delay observed (0.370) are far more strongly associated with default than the granted credit limit (-0.154) or raw bill size (-0.013). Credit </w:t>
      </w:r>
      <w:r w:rsidR="00EB39B5" w:rsidRPr="00EB39B5">
        <w:rPr>
          <w:rFonts w:ascii="Times New Roman" w:hAnsi="Times New Roman" w:cs="Times New Roman"/>
        </w:rPr>
        <w:t>utilization</w:t>
      </w:r>
      <w:r w:rsidRPr="00EB39B5">
        <w:rPr>
          <w:rFonts w:ascii="Times New Roman" w:hAnsi="Times New Roman" w:cs="Times New Roman"/>
        </w:rPr>
        <w:t xml:space="preserve"> also correlates positively with default (0.116), foreshadowing the exposure </w:t>
      </w:r>
      <w:r w:rsidRPr="00EB39B5">
        <w:rPr>
          <w:rFonts w:ascii="Times New Roman" w:hAnsi="Times New Roman" w:cs="Times New Roman"/>
        </w:rPr>
        <w:lastRenderedPageBreak/>
        <w:t xml:space="preserve">analysis in the next section. In short, delinquency </w:t>
      </w:r>
      <w:r w:rsidR="00EB39B5" w:rsidRPr="00EB39B5">
        <w:rPr>
          <w:rFonts w:ascii="Times New Roman" w:hAnsi="Times New Roman" w:cs="Times New Roman"/>
        </w:rPr>
        <w:t>behavior</w:t>
      </w:r>
      <w:r w:rsidRPr="00EB39B5">
        <w:rPr>
          <w:rFonts w:ascii="Times New Roman" w:hAnsi="Times New Roman" w:cs="Times New Roman"/>
        </w:rPr>
        <w:t>, not customer demographics or account size, is the dominant driver of default risk in this portfolio.</w:t>
      </w:r>
    </w:p>
    <w:p w14:paraId="098C4C0B" w14:textId="77777777" w:rsidR="00486A46" w:rsidRPr="00EB39B5" w:rsidRDefault="00D027D9">
      <w:pPr>
        <w:spacing w:before="200" w:after="80"/>
        <w:jc w:val="center"/>
        <w:rPr>
          <w:rFonts w:ascii="Times New Roman" w:hAnsi="Times New Roman" w:cs="Times New Roman"/>
        </w:rPr>
      </w:pPr>
      <w:r w:rsidRPr="00EB39B5">
        <w:rPr>
          <w:rFonts w:ascii="Times New Roman" w:hAnsi="Times New Roman" w:cs="Times New Roman"/>
          <w:noProof/>
        </w:rPr>
        <w:drawing>
          <wp:inline distT="0" distB="0" distL="0" distR="0" wp14:anchorId="00188EFD" wp14:editId="49323A47">
            <wp:extent cx="4381500" cy="3924300"/>
            <wp:effectExtent l="0" t="0" r="0" b="0"/>
            <wp:docPr id="171112156" name="Picture 171112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3924300"/>
                    </a:xfrm>
                    <a:prstGeom prst="rect">
                      <a:avLst/>
                    </a:prstGeom>
                  </pic:spPr>
                </pic:pic>
              </a:graphicData>
            </a:graphic>
          </wp:inline>
        </w:drawing>
      </w:r>
    </w:p>
    <w:p w14:paraId="664DF000" w14:textId="61B5D392" w:rsidR="00486A46" w:rsidRPr="00EB39B5" w:rsidRDefault="00D027D9">
      <w:pPr>
        <w:spacing w:after="200"/>
        <w:jc w:val="center"/>
        <w:rPr>
          <w:rFonts w:ascii="Times New Roman" w:hAnsi="Times New Roman" w:cs="Times New Roman"/>
        </w:rPr>
      </w:pPr>
      <w:r w:rsidRPr="00EB39B5">
        <w:rPr>
          <w:rFonts w:ascii="Times New Roman" w:hAnsi="Times New Roman" w:cs="Times New Roman"/>
          <w:i/>
          <w:iCs/>
          <w:color w:val="444444"/>
          <w:sz w:val="18"/>
          <w:szCs w:val="18"/>
        </w:rPr>
        <w:t xml:space="preserve">Figure 4. Correlation heatmap across key </w:t>
      </w:r>
      <w:r w:rsidR="00EB39B5" w:rsidRPr="00EB39B5">
        <w:rPr>
          <w:rFonts w:ascii="Times New Roman" w:hAnsi="Times New Roman" w:cs="Times New Roman"/>
          <w:i/>
          <w:iCs/>
          <w:color w:val="444444"/>
          <w:sz w:val="18"/>
          <w:szCs w:val="18"/>
        </w:rPr>
        <w:t>behavioral</w:t>
      </w:r>
      <w:r w:rsidRPr="00EB39B5">
        <w:rPr>
          <w:rFonts w:ascii="Times New Roman" w:hAnsi="Times New Roman" w:cs="Times New Roman"/>
          <w:i/>
          <w:iCs/>
          <w:color w:val="444444"/>
          <w:sz w:val="18"/>
          <w:szCs w:val="18"/>
        </w:rPr>
        <w:t xml:space="preserve"> and financial variables, including next-month default.</w:t>
      </w:r>
    </w:p>
    <w:p w14:paraId="56FD1E12" w14:textId="77777777" w:rsidR="00486A46" w:rsidRPr="00EB39B5" w:rsidRDefault="00D027D9">
      <w:pPr>
        <w:pStyle w:val="Heading1"/>
        <w:rPr>
          <w:rFonts w:ascii="Times New Roman" w:hAnsi="Times New Roman" w:cs="Times New Roman"/>
        </w:rPr>
      </w:pPr>
      <w:bookmarkStart w:id="5" w:name="_Toc235041903"/>
      <w:r w:rsidRPr="00EB39B5">
        <w:rPr>
          <w:rFonts w:ascii="Times New Roman" w:hAnsi="Times New Roman" w:cs="Times New Roman"/>
        </w:rPr>
        <w:t>Customer Segmentation &amp; Strategy</w:t>
      </w:r>
      <w:bookmarkEnd w:id="5"/>
    </w:p>
    <w:p w14:paraId="47776BDC" w14:textId="522BB5BB" w:rsidR="00486A46" w:rsidRPr="00EB39B5" w:rsidRDefault="00D027D9">
      <w:pPr>
        <w:spacing w:after="160" w:line="276" w:lineRule="auto"/>
        <w:jc w:val="both"/>
        <w:rPr>
          <w:rFonts w:ascii="Times New Roman" w:hAnsi="Times New Roman" w:cs="Times New Roman"/>
        </w:rPr>
      </w:pPr>
      <w:r w:rsidRPr="00EB39B5">
        <w:rPr>
          <w:rFonts w:ascii="Times New Roman" w:hAnsi="Times New Roman" w:cs="Times New Roman"/>
        </w:rPr>
        <w:t xml:space="preserve">To convert these findings into an operational tool, we built an interpretable, RFM-style risk-scoring framework across three </w:t>
      </w:r>
      <w:r w:rsidR="00EB39B5" w:rsidRPr="00EB39B5">
        <w:rPr>
          <w:rFonts w:ascii="Times New Roman" w:hAnsi="Times New Roman" w:cs="Times New Roman"/>
        </w:rPr>
        <w:t>behavioral</w:t>
      </w:r>
      <w:r w:rsidRPr="00EB39B5">
        <w:rPr>
          <w:rFonts w:ascii="Times New Roman" w:hAnsi="Times New Roman" w:cs="Times New Roman"/>
        </w:rPr>
        <w:t xml:space="preserve"> dimensions: Delinquency (a combination of the number of delayed months and the maximum delay observed), Repayment Capacity (the payment-to-bill ratio), and Exposure (credit </w:t>
      </w:r>
      <w:r w:rsidR="00EB39B5" w:rsidRPr="00EB39B5">
        <w:rPr>
          <w:rFonts w:ascii="Times New Roman" w:hAnsi="Times New Roman" w:cs="Times New Roman"/>
        </w:rPr>
        <w:t>utilization</w:t>
      </w:r>
      <w:r w:rsidRPr="00EB39B5">
        <w:rPr>
          <w:rFonts w:ascii="Times New Roman" w:hAnsi="Times New Roman" w:cs="Times New Roman"/>
        </w:rPr>
        <w:t xml:space="preserve">, </w:t>
      </w:r>
      <w:proofErr w:type="gramStart"/>
      <w:r w:rsidRPr="00EB39B5">
        <w:rPr>
          <w:rFonts w:ascii="Times New Roman" w:hAnsi="Times New Roman" w:cs="Times New Roman"/>
        </w:rPr>
        <w:t>i.e.</w:t>
      </w:r>
      <w:proofErr w:type="gramEnd"/>
      <w:r w:rsidRPr="00EB39B5">
        <w:rPr>
          <w:rFonts w:ascii="Times New Roman" w:hAnsi="Times New Roman" w:cs="Times New Roman"/>
        </w:rPr>
        <w:t xml:space="preserve"> average outstanding balance relative to the granted limit). Each dimension was scored from 1 (lowest risk) to 5 (highest risk) using quantile binning, so that each score band contains a comparable number of customers, and the direction of scoring was validated by confirming that default rates rise from score 1 to score 5 on every dimension. The three scores were combined into a single overall risk score using a weighted, reusable scoring function, with delinquency weighted most heavily (50%), followed by repayment capacity (30%) and exposure (20%), reflecting the relative strength of these signals found in the repayment analysis above.</w:t>
      </w:r>
    </w:p>
    <w:p w14:paraId="4B71B029" w14:textId="73C49D78" w:rsidR="00486A46" w:rsidRPr="00EB39B5" w:rsidRDefault="00D027D9">
      <w:pPr>
        <w:spacing w:after="160" w:line="276" w:lineRule="auto"/>
        <w:jc w:val="both"/>
        <w:rPr>
          <w:rFonts w:ascii="Times New Roman" w:hAnsi="Times New Roman" w:cs="Times New Roman"/>
        </w:rPr>
      </w:pPr>
      <w:r w:rsidRPr="00EB39B5">
        <w:rPr>
          <w:rFonts w:ascii="Times New Roman" w:hAnsi="Times New Roman" w:cs="Times New Roman"/>
        </w:rPr>
        <w:t xml:space="preserve">The overall risk score was then mapped into four business-friendly segments: Healthy, Watchlist, At-Risk, and Critical/Intervention. The resulting segments are validated directly against </w:t>
      </w:r>
      <w:r w:rsidR="00EB39B5" w:rsidRPr="00EB39B5">
        <w:rPr>
          <w:rFonts w:ascii="Times New Roman" w:hAnsi="Times New Roman" w:cs="Times New Roman"/>
        </w:rPr>
        <w:t>realized</w:t>
      </w:r>
      <w:r w:rsidRPr="00EB39B5">
        <w:rPr>
          <w:rFonts w:ascii="Times New Roman" w:hAnsi="Times New Roman" w:cs="Times New Roman"/>
        </w:rPr>
        <w:t xml:space="preserve"> default outcomes. Healthy customers (4,384 accounts, 14.6% of the book) default at 13.2%, closely followed by the much larger Watchlist segment (10,554 accounts, 35.2% of the book) at 12.3% — together, these lower-risk segments make up exactly half of the portfolio and default at close to half the portfolio average. Risk then rises sharply: the At-Risk segment (8,609 accounts, 28.7% of the book) defaults at 19.4%, and the Critical/Intervention segment (6,453 accounts, 21.5% of the book) defaults at 47.8% — more than double the portfolio average and roughly 3.6 times the rate of the Healthy segment. This is a highly actionable concentration of risk: just over a fifth of the book accounts for a hugely </w:t>
      </w:r>
      <w:r w:rsidRPr="00EB39B5">
        <w:rPr>
          <w:rFonts w:ascii="Times New Roman" w:hAnsi="Times New Roman" w:cs="Times New Roman"/>
        </w:rPr>
        <w:lastRenderedPageBreak/>
        <w:t>disproportionate share of expected defaults, meaning collections and review capacity can be targeted with real precision rather than spread evenly across the whole customer base.</w:t>
      </w:r>
    </w:p>
    <w:p w14:paraId="637FFB8B" w14:textId="77777777" w:rsidR="00486A46" w:rsidRPr="00EB39B5" w:rsidRDefault="00D027D9">
      <w:pPr>
        <w:spacing w:before="200" w:after="80"/>
        <w:jc w:val="center"/>
        <w:rPr>
          <w:rFonts w:ascii="Times New Roman" w:hAnsi="Times New Roman" w:cs="Times New Roman"/>
        </w:rPr>
      </w:pPr>
      <w:r w:rsidRPr="00EB39B5">
        <w:rPr>
          <w:rFonts w:ascii="Times New Roman" w:hAnsi="Times New Roman" w:cs="Times New Roman"/>
          <w:noProof/>
        </w:rPr>
        <w:drawing>
          <wp:inline distT="0" distB="0" distL="0" distR="0" wp14:anchorId="26F2A2BE" wp14:editId="455A182F">
            <wp:extent cx="5524500" cy="1933575"/>
            <wp:effectExtent l="0" t="0" r="0" b="0"/>
            <wp:docPr id="294991070" name="Picture 294991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1933575"/>
                    </a:xfrm>
                    <a:prstGeom prst="rect">
                      <a:avLst/>
                    </a:prstGeom>
                  </pic:spPr>
                </pic:pic>
              </a:graphicData>
            </a:graphic>
          </wp:inline>
        </w:drawing>
      </w:r>
    </w:p>
    <w:p w14:paraId="3FE1FDDB" w14:textId="77777777" w:rsidR="00486A46" w:rsidRPr="00EB39B5" w:rsidRDefault="00D027D9">
      <w:pPr>
        <w:spacing w:after="200"/>
        <w:jc w:val="center"/>
        <w:rPr>
          <w:rFonts w:ascii="Times New Roman" w:hAnsi="Times New Roman" w:cs="Times New Roman"/>
        </w:rPr>
      </w:pPr>
      <w:r w:rsidRPr="00EB39B5">
        <w:rPr>
          <w:rFonts w:ascii="Times New Roman" w:hAnsi="Times New Roman" w:cs="Times New Roman"/>
          <w:i/>
          <w:iCs/>
          <w:color w:val="444444"/>
          <w:sz w:val="18"/>
          <w:szCs w:val="18"/>
        </w:rPr>
        <w:t>Figure 5. Customer count and validated default rate by financial-health segment.</w:t>
      </w:r>
    </w:p>
    <w:p w14:paraId="5BD485C9" w14:textId="2C5D3C61" w:rsidR="00486A46" w:rsidRPr="00EB39B5" w:rsidRDefault="00D027D9">
      <w:pPr>
        <w:spacing w:after="160" w:line="276" w:lineRule="auto"/>
        <w:jc w:val="both"/>
        <w:rPr>
          <w:rFonts w:ascii="Times New Roman" w:hAnsi="Times New Roman" w:cs="Times New Roman"/>
        </w:rPr>
      </w:pPr>
      <w:r w:rsidRPr="00EB39B5">
        <w:rPr>
          <w:rFonts w:ascii="Times New Roman" w:hAnsi="Times New Roman" w:cs="Times New Roman"/>
        </w:rPr>
        <w:t xml:space="preserve">Segmentation alone, however, does not tell the whole story. We specifically investigated the hypothesis that customers combining high credit </w:t>
      </w:r>
      <w:r w:rsidR="00EB39B5" w:rsidRPr="00EB39B5">
        <w:rPr>
          <w:rFonts w:ascii="Times New Roman" w:hAnsi="Times New Roman" w:cs="Times New Roman"/>
        </w:rPr>
        <w:t>utilization</w:t>
      </w:r>
      <w:r w:rsidRPr="00EB39B5">
        <w:rPr>
          <w:rFonts w:ascii="Times New Roman" w:hAnsi="Times New Roman" w:cs="Times New Roman"/>
        </w:rPr>
        <w:t xml:space="preserve"> with weak repayment capacity are disproportionately risky. The results confirm this clearly: customers using less than 30% of their credit limit default at 17.9%, rising steadily to 22.0% for moderate </w:t>
      </w:r>
      <w:r w:rsidR="00EB39B5" w:rsidRPr="00EB39B5">
        <w:rPr>
          <w:rFonts w:ascii="Times New Roman" w:hAnsi="Times New Roman" w:cs="Times New Roman"/>
        </w:rPr>
        <w:t>utilization</w:t>
      </w:r>
      <w:r w:rsidRPr="00EB39B5">
        <w:rPr>
          <w:rFonts w:ascii="Times New Roman" w:hAnsi="Times New Roman" w:cs="Times New Roman"/>
        </w:rPr>
        <w:t xml:space="preserve"> (30-60%), 28.8% for high </w:t>
      </w:r>
      <w:r w:rsidR="00EB39B5" w:rsidRPr="00EB39B5">
        <w:rPr>
          <w:rFonts w:ascii="Times New Roman" w:hAnsi="Times New Roman" w:cs="Times New Roman"/>
        </w:rPr>
        <w:t>utilization</w:t>
      </w:r>
      <w:r w:rsidRPr="00EB39B5">
        <w:rPr>
          <w:rFonts w:ascii="Times New Roman" w:hAnsi="Times New Roman" w:cs="Times New Roman"/>
        </w:rPr>
        <w:t xml:space="preserve"> (60-100%), and 34.2% for customers who are effectively over their limit. Crucially, this risk compounds with weak repayment capacity rather than simply adding to it: among over-limit customers, those with the weakest capacity score default at 38.4%, compared with roughly 15% for low-</w:t>
      </w:r>
      <w:r w:rsidR="00EB39B5" w:rsidRPr="00EB39B5">
        <w:rPr>
          <w:rFonts w:ascii="Times New Roman" w:hAnsi="Times New Roman" w:cs="Times New Roman"/>
        </w:rPr>
        <w:t>utilization</w:t>
      </w:r>
      <w:r w:rsidRPr="00EB39B5">
        <w:rPr>
          <w:rFonts w:ascii="Times New Roman" w:hAnsi="Times New Roman" w:cs="Times New Roman"/>
        </w:rPr>
        <w:t xml:space="preserve"> customers with strong capacity — a more than two-and-a-half-fold difference. This means </w:t>
      </w:r>
      <w:r w:rsidR="00EB39B5" w:rsidRPr="00EB39B5">
        <w:rPr>
          <w:rFonts w:ascii="Times New Roman" w:hAnsi="Times New Roman" w:cs="Times New Roman"/>
        </w:rPr>
        <w:t>utilization</w:t>
      </w:r>
      <w:r w:rsidRPr="00EB39B5">
        <w:rPr>
          <w:rFonts w:ascii="Times New Roman" w:hAnsi="Times New Roman" w:cs="Times New Roman"/>
        </w:rPr>
        <w:t xml:space="preserve"> and capacity should never be assessed in isolation: a customer running near their limit but paying reliably is a fundamentally different risk case from one who is both over-extended and falling behind, and a monitoring policy should distinguish between them explicitly rather than flagging both as simply "high </w:t>
      </w:r>
      <w:r w:rsidR="00EB39B5" w:rsidRPr="00EB39B5">
        <w:rPr>
          <w:rFonts w:ascii="Times New Roman" w:hAnsi="Times New Roman" w:cs="Times New Roman"/>
        </w:rPr>
        <w:t>utilization</w:t>
      </w:r>
      <w:r w:rsidRPr="00EB39B5">
        <w:rPr>
          <w:rFonts w:ascii="Times New Roman" w:hAnsi="Times New Roman" w:cs="Times New Roman"/>
        </w:rPr>
        <w:t>."</w:t>
      </w:r>
    </w:p>
    <w:p w14:paraId="031D57F3" w14:textId="77777777" w:rsidR="00486A46" w:rsidRPr="00EB39B5" w:rsidRDefault="00D027D9">
      <w:pPr>
        <w:spacing w:before="200" w:after="80"/>
        <w:jc w:val="center"/>
        <w:rPr>
          <w:rFonts w:ascii="Times New Roman" w:hAnsi="Times New Roman" w:cs="Times New Roman"/>
        </w:rPr>
      </w:pPr>
      <w:r w:rsidRPr="00EB39B5">
        <w:rPr>
          <w:rFonts w:ascii="Times New Roman" w:hAnsi="Times New Roman" w:cs="Times New Roman"/>
          <w:noProof/>
        </w:rPr>
        <w:drawing>
          <wp:inline distT="0" distB="0" distL="0" distR="0" wp14:anchorId="2C5E8FA7" wp14:editId="42B9C592">
            <wp:extent cx="4381500" cy="3038475"/>
            <wp:effectExtent l="0" t="0" r="0" b="0"/>
            <wp:docPr id="1353504478" name="Picture 1353504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3038475"/>
                    </a:xfrm>
                    <a:prstGeom prst="rect">
                      <a:avLst/>
                    </a:prstGeom>
                  </pic:spPr>
                </pic:pic>
              </a:graphicData>
            </a:graphic>
          </wp:inline>
        </w:drawing>
      </w:r>
    </w:p>
    <w:p w14:paraId="17C3B649" w14:textId="7E656218" w:rsidR="00486A46" w:rsidRPr="00EB39B5" w:rsidRDefault="00D027D9">
      <w:pPr>
        <w:spacing w:after="200"/>
        <w:jc w:val="center"/>
        <w:rPr>
          <w:rFonts w:ascii="Times New Roman" w:hAnsi="Times New Roman" w:cs="Times New Roman"/>
        </w:rPr>
      </w:pPr>
      <w:r w:rsidRPr="00EB39B5">
        <w:rPr>
          <w:rFonts w:ascii="Times New Roman" w:hAnsi="Times New Roman" w:cs="Times New Roman"/>
          <w:i/>
          <w:iCs/>
          <w:color w:val="444444"/>
          <w:sz w:val="18"/>
          <w:szCs w:val="18"/>
        </w:rPr>
        <w:t>Figure 6. Default rate by credit-</w:t>
      </w:r>
      <w:r w:rsidR="00EB39B5" w:rsidRPr="00EB39B5">
        <w:rPr>
          <w:rFonts w:ascii="Times New Roman" w:hAnsi="Times New Roman" w:cs="Times New Roman"/>
          <w:i/>
          <w:iCs/>
          <w:color w:val="444444"/>
          <w:sz w:val="18"/>
          <w:szCs w:val="18"/>
        </w:rPr>
        <w:t>utilization</w:t>
      </w:r>
      <w:r w:rsidRPr="00EB39B5">
        <w:rPr>
          <w:rFonts w:ascii="Times New Roman" w:hAnsi="Times New Roman" w:cs="Times New Roman"/>
          <w:i/>
          <w:iCs/>
          <w:color w:val="444444"/>
          <w:sz w:val="18"/>
          <w:szCs w:val="18"/>
        </w:rPr>
        <w:t xml:space="preserve"> band and repayment-capacity score — risk compounds where both are weak.</w:t>
      </w:r>
    </w:p>
    <w:p w14:paraId="4A34BA0E" w14:textId="6A968A3C" w:rsidR="00486A46" w:rsidRPr="00EB39B5" w:rsidRDefault="00D027D9">
      <w:pPr>
        <w:spacing w:after="160" w:line="276" w:lineRule="auto"/>
        <w:jc w:val="both"/>
        <w:rPr>
          <w:rFonts w:ascii="Times New Roman" w:hAnsi="Times New Roman" w:cs="Times New Roman"/>
        </w:rPr>
      </w:pPr>
      <w:r w:rsidRPr="00EB39B5">
        <w:rPr>
          <w:rFonts w:ascii="Times New Roman" w:hAnsi="Times New Roman" w:cs="Times New Roman"/>
        </w:rPr>
        <w:t xml:space="preserve">This compounding pattern is also visible structurally, not only in default outcomes. Average credit </w:t>
      </w:r>
      <w:r w:rsidR="00EB39B5" w:rsidRPr="00EB39B5">
        <w:rPr>
          <w:rFonts w:ascii="Times New Roman" w:hAnsi="Times New Roman" w:cs="Times New Roman"/>
        </w:rPr>
        <w:t>utilization</w:t>
      </w:r>
      <w:r w:rsidRPr="00EB39B5">
        <w:rPr>
          <w:rFonts w:ascii="Times New Roman" w:hAnsi="Times New Roman" w:cs="Times New Roman"/>
        </w:rPr>
        <w:t xml:space="preserve"> rises steadily across the four segments — from 7.0% (Healthy) to 25.5% (Watchlist), 43.9% </w:t>
      </w:r>
      <w:r w:rsidRPr="00EB39B5">
        <w:rPr>
          <w:rFonts w:ascii="Times New Roman" w:hAnsi="Times New Roman" w:cs="Times New Roman"/>
        </w:rPr>
        <w:lastRenderedPageBreak/>
        <w:t>(At-Risk), and 68.4% (Critical/Intervention) — while average repayment capacity falls in lockstep, from 92.3% to 5.0%. Figure 7 confirms this holds across the full distribution, not just on average: the riskiest segment is simultaneously the most credit-stretched and the most capacity-constrained.</w:t>
      </w:r>
    </w:p>
    <w:p w14:paraId="63D28A05" w14:textId="77777777" w:rsidR="00486A46" w:rsidRPr="00EB39B5" w:rsidRDefault="00D027D9">
      <w:pPr>
        <w:spacing w:before="200" w:after="80"/>
        <w:jc w:val="center"/>
        <w:rPr>
          <w:rFonts w:ascii="Times New Roman" w:hAnsi="Times New Roman" w:cs="Times New Roman"/>
        </w:rPr>
      </w:pPr>
      <w:r w:rsidRPr="00EB39B5">
        <w:rPr>
          <w:rFonts w:ascii="Times New Roman" w:hAnsi="Times New Roman" w:cs="Times New Roman"/>
          <w:noProof/>
        </w:rPr>
        <w:drawing>
          <wp:inline distT="0" distB="0" distL="0" distR="0" wp14:anchorId="6BDD4BF3" wp14:editId="23B7A848">
            <wp:extent cx="4381500" cy="2400300"/>
            <wp:effectExtent l="0" t="0" r="0" b="0"/>
            <wp:docPr id="894507929" name="Picture 894507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2400300"/>
                    </a:xfrm>
                    <a:prstGeom prst="rect">
                      <a:avLst/>
                    </a:prstGeom>
                  </pic:spPr>
                </pic:pic>
              </a:graphicData>
            </a:graphic>
          </wp:inline>
        </w:drawing>
      </w:r>
    </w:p>
    <w:p w14:paraId="1F05C0FA" w14:textId="5697F5E3" w:rsidR="00486A46" w:rsidRPr="00EB39B5" w:rsidRDefault="00D027D9">
      <w:pPr>
        <w:spacing w:after="200"/>
        <w:jc w:val="center"/>
        <w:rPr>
          <w:rFonts w:ascii="Times New Roman" w:hAnsi="Times New Roman" w:cs="Times New Roman"/>
        </w:rPr>
      </w:pPr>
      <w:r w:rsidRPr="00EB39B5">
        <w:rPr>
          <w:rFonts w:ascii="Times New Roman" w:hAnsi="Times New Roman" w:cs="Times New Roman"/>
          <w:i/>
          <w:iCs/>
          <w:color w:val="444444"/>
          <w:sz w:val="18"/>
          <w:szCs w:val="18"/>
        </w:rPr>
        <w:t xml:space="preserve">Figure 7. Distribution of credit </w:t>
      </w:r>
      <w:r w:rsidR="00EB39B5" w:rsidRPr="00EB39B5">
        <w:rPr>
          <w:rFonts w:ascii="Times New Roman" w:hAnsi="Times New Roman" w:cs="Times New Roman"/>
          <w:i/>
          <w:iCs/>
          <w:color w:val="444444"/>
          <w:sz w:val="18"/>
          <w:szCs w:val="18"/>
        </w:rPr>
        <w:t>utilization</w:t>
      </w:r>
      <w:r w:rsidRPr="00EB39B5">
        <w:rPr>
          <w:rFonts w:ascii="Times New Roman" w:hAnsi="Times New Roman" w:cs="Times New Roman"/>
          <w:i/>
          <w:iCs/>
          <w:color w:val="444444"/>
          <w:sz w:val="18"/>
          <w:szCs w:val="18"/>
        </w:rPr>
        <w:t xml:space="preserve"> by risk segment.</w:t>
      </w:r>
    </w:p>
    <w:p w14:paraId="3AC90486" w14:textId="7D3F6F9B" w:rsidR="00486A46" w:rsidRPr="00EB39B5" w:rsidRDefault="00D027D9">
      <w:pPr>
        <w:spacing w:after="160" w:line="276" w:lineRule="auto"/>
        <w:jc w:val="both"/>
        <w:rPr>
          <w:rFonts w:ascii="Times New Roman" w:hAnsi="Times New Roman" w:cs="Times New Roman"/>
        </w:rPr>
      </w:pPr>
      <w:r w:rsidRPr="00EB39B5">
        <w:rPr>
          <w:rFonts w:ascii="Times New Roman" w:hAnsi="Times New Roman" w:cs="Times New Roman"/>
        </w:rPr>
        <w:t xml:space="preserve">Translating segments into action, we recommend: Healthy customers receive no intervention and are candidates for proactive limit increases or retention offers; Watchlist customers receive automated payment reminders and financial-wellness nudges with ongoing monitoring for deterioration; At-Risk customers receive proactive outreach, a freeze on further limit increases, and the option of a structured repayment plan; and Critical/Intervention customers are routed to a formal hardship or restructuring offer alongside a credit-line reduction, with referral to financial-wellness support. Every action is supportive or protective rather than punitive, and — importantly — segment membership is driven purely by </w:t>
      </w:r>
      <w:r w:rsidR="00EB39B5" w:rsidRPr="00EB39B5">
        <w:rPr>
          <w:rFonts w:ascii="Times New Roman" w:hAnsi="Times New Roman" w:cs="Times New Roman"/>
        </w:rPr>
        <w:t>behavioral</w:t>
      </w:r>
      <w:r w:rsidRPr="00EB39B5">
        <w:rPr>
          <w:rFonts w:ascii="Times New Roman" w:hAnsi="Times New Roman" w:cs="Times New Roman"/>
        </w:rPr>
        <w:t xml:space="preserve"> repayment data rather than by sex, education, or marital status, keeping the framework auditable, defensible, and fair.</w:t>
      </w:r>
    </w:p>
    <w:p w14:paraId="4CBF4A04" w14:textId="77777777" w:rsidR="00486A46" w:rsidRPr="00EB39B5" w:rsidRDefault="00D027D9">
      <w:pPr>
        <w:pStyle w:val="Heading1"/>
        <w:rPr>
          <w:rFonts w:ascii="Times New Roman" w:hAnsi="Times New Roman" w:cs="Times New Roman"/>
        </w:rPr>
      </w:pPr>
      <w:bookmarkStart w:id="6" w:name="_Toc235041904"/>
      <w:r w:rsidRPr="00EB39B5">
        <w:rPr>
          <w:rFonts w:ascii="Times New Roman" w:hAnsi="Times New Roman" w:cs="Times New Roman"/>
        </w:rPr>
        <w:t>Data Enrichment via API</w:t>
      </w:r>
      <w:bookmarkEnd w:id="6"/>
    </w:p>
    <w:p w14:paraId="61876447" w14:textId="7205C96A" w:rsidR="00486A46" w:rsidRPr="00EB39B5" w:rsidRDefault="00D027D9">
      <w:pPr>
        <w:spacing w:after="160" w:line="276" w:lineRule="auto"/>
        <w:jc w:val="both"/>
        <w:rPr>
          <w:rFonts w:ascii="Times New Roman" w:hAnsi="Times New Roman" w:cs="Times New Roman"/>
        </w:rPr>
      </w:pPr>
      <w:r w:rsidRPr="00EB39B5">
        <w:rPr>
          <w:rFonts w:ascii="Times New Roman" w:hAnsi="Times New Roman" w:cs="Times New Roman"/>
        </w:rPr>
        <w:t xml:space="preserve">To support international reporting, we enriched the dataset with a live currency conversion, fetched via the public </w:t>
      </w:r>
      <w:r w:rsidR="00EB39B5" w:rsidRPr="00EB39B5">
        <w:rPr>
          <w:rFonts w:ascii="Times New Roman" w:hAnsi="Times New Roman" w:cs="Times New Roman"/>
        </w:rPr>
        <w:t>Exchange Rate</w:t>
      </w:r>
      <w:r w:rsidRPr="00EB39B5">
        <w:rPr>
          <w:rFonts w:ascii="Times New Roman" w:hAnsi="Times New Roman" w:cs="Times New Roman"/>
        </w:rPr>
        <w:t>-API (open.er-api.com), converting NTD-denominated credit limits and balances into USD. The API returns a JSON payload containing metadata (such as the base currency 'USD' and the last update timestamp) alongside a nested 'rates' dictionary. From this response, our code programmatically extracted the 'TWD' rate. The integration was built with graceful error handling: if the live API call fails for any reason (due to timeouts or network sandbox constraints), the notebook automatically falls back to a documented static rate of 32.50 TWD per USD rather than breaking, ensuring reproducibility in any environment. Using the live rate retrieved during analysis (1 USD = 32.0991 TWD), the average granted credit limit across the portfolio converts to approximately USD 5,218. If the live API is unreachable, the fallback rate yields a comparable average limit of USD 5,153. This enrichment is a small but genuinely useful step: it turns a one-off analysis into something that stays current automatically each time the notebook is re-run, and lays the groundwork for layering in further external context, such as interest-rate or inflation data, in future iterations of this framework.</w:t>
      </w:r>
    </w:p>
    <w:p w14:paraId="221ED60E" w14:textId="77777777" w:rsidR="00486A46" w:rsidRPr="00EB39B5" w:rsidRDefault="00D027D9">
      <w:pPr>
        <w:pStyle w:val="Heading1"/>
        <w:rPr>
          <w:rFonts w:ascii="Times New Roman" w:hAnsi="Times New Roman" w:cs="Times New Roman"/>
        </w:rPr>
      </w:pPr>
      <w:bookmarkStart w:id="7" w:name="_Toc235041905"/>
      <w:r w:rsidRPr="00EB39B5">
        <w:rPr>
          <w:rFonts w:ascii="Times New Roman" w:hAnsi="Times New Roman" w:cs="Times New Roman"/>
        </w:rPr>
        <w:t>Recommendations, Ethics &amp; Limitations</w:t>
      </w:r>
      <w:bookmarkEnd w:id="7"/>
    </w:p>
    <w:p w14:paraId="14069DE5" w14:textId="7E1648A1" w:rsidR="00486A46" w:rsidRPr="00EB39B5" w:rsidRDefault="00D027D9">
      <w:pPr>
        <w:spacing w:after="160" w:line="276" w:lineRule="auto"/>
        <w:jc w:val="both"/>
        <w:rPr>
          <w:rFonts w:ascii="Times New Roman" w:hAnsi="Times New Roman" w:cs="Times New Roman"/>
        </w:rPr>
      </w:pPr>
      <w:r w:rsidRPr="00EB39B5">
        <w:rPr>
          <w:rFonts w:ascii="Times New Roman" w:hAnsi="Times New Roman" w:cs="Times New Roman"/>
        </w:rPr>
        <w:lastRenderedPageBreak/>
        <w:t xml:space="preserve">Beyond the three headline recommendations in the Executive Summary, we recommend that </w:t>
      </w:r>
      <w:proofErr w:type="spellStart"/>
      <w:r w:rsidRPr="00EB39B5">
        <w:rPr>
          <w:rFonts w:ascii="Times New Roman" w:hAnsi="Times New Roman" w:cs="Times New Roman"/>
        </w:rPr>
        <w:t>FinTrust</w:t>
      </w:r>
      <w:proofErr w:type="spellEnd"/>
      <w:r w:rsidRPr="00EB39B5">
        <w:rPr>
          <w:rFonts w:ascii="Times New Roman" w:hAnsi="Times New Roman" w:cs="Times New Roman"/>
        </w:rPr>
        <w:t xml:space="preserve"> </w:t>
      </w:r>
      <w:r w:rsidR="00EB39B5" w:rsidRPr="00EB39B5">
        <w:rPr>
          <w:rFonts w:ascii="Times New Roman" w:hAnsi="Times New Roman" w:cs="Times New Roman"/>
        </w:rPr>
        <w:t>operationalize</w:t>
      </w:r>
      <w:r w:rsidRPr="00EB39B5">
        <w:rPr>
          <w:rFonts w:ascii="Times New Roman" w:hAnsi="Times New Roman" w:cs="Times New Roman"/>
        </w:rPr>
        <w:t xml:space="preserve"> this framework in three concrete ways. First, integrate the overall risk score into existing account-monitoring dashboards so that relationship and collections teams see a live segment label rather than raw transaction data. Second, re-run the underlying scoring model on a regular cycle (for example, monthly) so that segment membership reflects a customer's most recent </w:t>
      </w:r>
      <w:r w:rsidR="00EB39B5" w:rsidRPr="00EB39B5">
        <w:rPr>
          <w:rFonts w:ascii="Times New Roman" w:hAnsi="Times New Roman" w:cs="Times New Roman"/>
        </w:rPr>
        <w:t>behavior</w:t>
      </w:r>
      <w:r w:rsidRPr="00EB39B5">
        <w:rPr>
          <w:rFonts w:ascii="Times New Roman" w:hAnsi="Times New Roman" w:cs="Times New Roman"/>
        </w:rPr>
        <w:t xml:space="preserve"> rather than a static snapshot, consistent with our finding that recent repayment status is the strongest predictor available. Third, pilot the </w:t>
      </w:r>
      <w:r w:rsidR="00EB39B5" w:rsidRPr="00EB39B5">
        <w:rPr>
          <w:rFonts w:ascii="Times New Roman" w:hAnsi="Times New Roman" w:cs="Times New Roman"/>
        </w:rPr>
        <w:t>utilization</w:t>
      </w:r>
      <w:r w:rsidRPr="00EB39B5">
        <w:rPr>
          <w:rFonts w:ascii="Times New Roman" w:hAnsi="Times New Roman" w:cs="Times New Roman"/>
        </w:rPr>
        <w:t xml:space="preserve">-and-capacity joint policy on a subset of At-Risk and Critical accounts before full rollout, to confirm that the recommended actions reduce </w:t>
      </w:r>
      <w:r w:rsidR="00EB39B5" w:rsidRPr="00EB39B5">
        <w:rPr>
          <w:rFonts w:ascii="Times New Roman" w:hAnsi="Times New Roman" w:cs="Times New Roman"/>
        </w:rPr>
        <w:t>realized</w:t>
      </w:r>
      <w:r w:rsidRPr="00EB39B5">
        <w:rPr>
          <w:rFonts w:ascii="Times New Roman" w:hAnsi="Times New Roman" w:cs="Times New Roman"/>
        </w:rPr>
        <w:t xml:space="preserve"> defaults in practice and not only in historical data.</w:t>
      </w:r>
    </w:p>
    <w:p w14:paraId="5CE4269E" w14:textId="4179E280" w:rsidR="00486A46" w:rsidRPr="00EB39B5" w:rsidRDefault="00D027D9">
      <w:pPr>
        <w:spacing w:after="160" w:line="276" w:lineRule="auto"/>
        <w:jc w:val="both"/>
        <w:rPr>
          <w:rFonts w:ascii="Times New Roman" w:hAnsi="Times New Roman" w:cs="Times New Roman"/>
        </w:rPr>
      </w:pPr>
      <w:r w:rsidRPr="00EB39B5">
        <w:rPr>
          <w:rFonts w:ascii="Times New Roman" w:hAnsi="Times New Roman" w:cs="Times New Roman"/>
        </w:rPr>
        <w:t xml:space="preserve">On fairness and ethics, we deliberately excluded sex, education, and marital status from the risk-scoring formula itself, using them only for descriptive analysis; this avoids embedding demographic proxies into automated decisions and keeps the framework's outputs explainable purely in terms of a customer's own repayment </w:t>
      </w:r>
      <w:r w:rsidR="00EB39B5" w:rsidRPr="00EB39B5">
        <w:rPr>
          <w:rFonts w:ascii="Times New Roman" w:hAnsi="Times New Roman" w:cs="Times New Roman"/>
        </w:rPr>
        <w:t>behavior</w:t>
      </w:r>
      <w:r w:rsidRPr="00EB39B5">
        <w:rPr>
          <w:rFonts w:ascii="Times New Roman" w:hAnsi="Times New Roman" w:cs="Times New Roman"/>
        </w:rPr>
        <w:t xml:space="preserve">. We also chose to relabel rather than delete customers with undocumented demographic codes, so that no group of real accounts is silently excluded from monitoring or support. We recommend </w:t>
      </w:r>
      <w:proofErr w:type="spellStart"/>
      <w:r w:rsidRPr="00EB39B5">
        <w:rPr>
          <w:rFonts w:ascii="Times New Roman" w:hAnsi="Times New Roman" w:cs="Times New Roman"/>
        </w:rPr>
        <w:t>FinTrust</w:t>
      </w:r>
      <w:proofErr w:type="spellEnd"/>
      <w:r w:rsidRPr="00EB39B5">
        <w:rPr>
          <w:rFonts w:ascii="Times New Roman" w:hAnsi="Times New Roman" w:cs="Times New Roman"/>
        </w:rPr>
        <w:t xml:space="preserve"> maintain this principle as the framework evolves: any future variable added to the score should be </w:t>
      </w:r>
      <w:r w:rsidR="00EB39B5" w:rsidRPr="00EB39B5">
        <w:rPr>
          <w:rFonts w:ascii="Times New Roman" w:hAnsi="Times New Roman" w:cs="Times New Roman"/>
        </w:rPr>
        <w:t>behavioral</w:t>
      </w:r>
      <w:r w:rsidRPr="00EB39B5">
        <w:rPr>
          <w:rFonts w:ascii="Times New Roman" w:hAnsi="Times New Roman" w:cs="Times New Roman"/>
        </w:rPr>
        <w:t xml:space="preserve"> and within the customer's control, not a fixed personal characteristic.</w:t>
      </w:r>
    </w:p>
    <w:p w14:paraId="37AA5FBA" w14:textId="4D26057B" w:rsidR="00486A46" w:rsidRPr="00EB39B5" w:rsidRDefault="00D027D9">
      <w:pPr>
        <w:spacing w:after="160" w:line="276" w:lineRule="auto"/>
        <w:jc w:val="both"/>
        <w:rPr>
          <w:rFonts w:ascii="Times New Roman" w:hAnsi="Times New Roman" w:cs="Times New Roman"/>
        </w:rPr>
      </w:pPr>
      <w:r w:rsidRPr="00EB39B5">
        <w:rPr>
          <w:rFonts w:ascii="Times New Roman" w:hAnsi="Times New Roman" w:cs="Times New Roman"/>
        </w:rPr>
        <w:t xml:space="preserve">This analysis has some important limitations. The underlying dataset is a historical snapshot from a single market and time period, so absolute default-rate figures may not transfer unchanged to </w:t>
      </w:r>
      <w:proofErr w:type="spellStart"/>
      <w:r w:rsidRPr="00EB39B5">
        <w:rPr>
          <w:rFonts w:ascii="Times New Roman" w:hAnsi="Times New Roman" w:cs="Times New Roman"/>
        </w:rPr>
        <w:t>FinTrust's</w:t>
      </w:r>
      <w:proofErr w:type="spellEnd"/>
      <w:r w:rsidRPr="00EB39B5">
        <w:rPr>
          <w:rFonts w:ascii="Times New Roman" w:hAnsi="Times New Roman" w:cs="Times New Roman"/>
        </w:rPr>
        <w:t xml:space="preserve"> current book or to other markets; the framework should be recalibrated on </w:t>
      </w:r>
      <w:proofErr w:type="spellStart"/>
      <w:r w:rsidRPr="00EB39B5">
        <w:rPr>
          <w:rFonts w:ascii="Times New Roman" w:hAnsi="Times New Roman" w:cs="Times New Roman"/>
        </w:rPr>
        <w:t>FinTrust's</w:t>
      </w:r>
      <w:proofErr w:type="spellEnd"/>
      <w:r w:rsidRPr="00EB39B5">
        <w:rPr>
          <w:rFonts w:ascii="Times New Roman" w:hAnsi="Times New Roman" w:cs="Times New Roman"/>
        </w:rPr>
        <w:t xml:space="preserve"> own live data before full deployment. The risk-scoring weights (50/30/20 across delinquency, capacity, and exposure) were chosen based on the relative strength of correlations observed in this dataset and are a reasonable starting point rather than a formally </w:t>
      </w:r>
      <w:r w:rsidR="00EB39B5" w:rsidRPr="00EB39B5">
        <w:rPr>
          <w:rFonts w:ascii="Times New Roman" w:hAnsi="Times New Roman" w:cs="Times New Roman"/>
        </w:rPr>
        <w:t>optimized</w:t>
      </w:r>
      <w:r w:rsidRPr="00EB39B5">
        <w:rPr>
          <w:rFonts w:ascii="Times New Roman" w:hAnsi="Times New Roman" w:cs="Times New Roman"/>
        </w:rPr>
        <w:t xml:space="preserve"> model; they should be revisited once outcome data from the new segmentation itself becomes available. The quantile-based scoring approach also means segment boundaries are defined relative to </w:t>
      </w:r>
      <w:proofErr w:type="spellStart"/>
      <w:r w:rsidRPr="00EB39B5">
        <w:rPr>
          <w:rFonts w:ascii="Times New Roman" w:hAnsi="Times New Roman" w:cs="Times New Roman"/>
        </w:rPr>
        <w:t>FinTrust's</w:t>
      </w:r>
      <w:proofErr w:type="spellEnd"/>
      <w:r w:rsidRPr="00EB39B5">
        <w:rPr>
          <w:rFonts w:ascii="Times New Roman" w:hAnsi="Times New Roman" w:cs="Times New Roman"/>
        </w:rPr>
        <w:t xml:space="preserve"> own customer base rather than against a fixed external standard — this is useful for </w:t>
      </w:r>
      <w:r w:rsidR="00EB39B5" w:rsidRPr="00EB39B5">
        <w:rPr>
          <w:rFonts w:ascii="Times New Roman" w:hAnsi="Times New Roman" w:cs="Times New Roman"/>
        </w:rPr>
        <w:t>prioritizing</w:t>
      </w:r>
      <w:r w:rsidRPr="00EB39B5">
        <w:rPr>
          <w:rFonts w:ascii="Times New Roman" w:hAnsi="Times New Roman" w:cs="Times New Roman"/>
        </w:rPr>
        <w:t xml:space="preserve"> internal resources but means a "Healthy" customer today is not necessarily comparable to a "Healthy" customer under a materially different future portfolio mix, and boundaries should be revisited periodically as the book evolves.</w:t>
      </w:r>
    </w:p>
    <w:p w14:paraId="1E2744BB" w14:textId="6DE6C649" w:rsidR="00FC09DE" w:rsidRPr="00EB39B5" w:rsidRDefault="00D027D9">
      <w:pPr>
        <w:spacing w:after="160" w:line="276" w:lineRule="auto"/>
        <w:jc w:val="both"/>
        <w:rPr>
          <w:rFonts w:ascii="Times New Roman" w:hAnsi="Times New Roman" w:cs="Times New Roman"/>
        </w:rPr>
      </w:pPr>
      <w:r w:rsidRPr="00EB39B5">
        <w:rPr>
          <w:rFonts w:ascii="Times New Roman" w:hAnsi="Times New Roman" w:cs="Times New Roman"/>
        </w:rPr>
        <w:t xml:space="preserve">Finally, this is a rules-based, interpretable scoring framework rather than a machine-learning classifier — a deliberate choice for transparency and auditability, but one that means it may leave some predictive accuracy on the table compared to a more complex model, a trade-off we consider appropriate for a customer-facing risk and collections process. We would encourage the board to treat this framework as a first production-ready iteration rather than a finished system: as more months of outcome data accumulate under the new segmentation, </w:t>
      </w:r>
      <w:proofErr w:type="spellStart"/>
      <w:r w:rsidRPr="00EB39B5">
        <w:rPr>
          <w:rFonts w:ascii="Times New Roman" w:hAnsi="Times New Roman" w:cs="Times New Roman"/>
        </w:rPr>
        <w:t>FinTrust</w:t>
      </w:r>
      <w:proofErr w:type="spellEnd"/>
      <w:r w:rsidRPr="00EB39B5">
        <w:rPr>
          <w:rFonts w:ascii="Times New Roman" w:hAnsi="Times New Roman" w:cs="Times New Roman"/>
        </w:rPr>
        <w:t xml:space="preserve"> will be well placed to test whether the recommended actions actually reduce </w:t>
      </w:r>
      <w:r w:rsidR="00EB39B5" w:rsidRPr="00EB39B5">
        <w:rPr>
          <w:rFonts w:ascii="Times New Roman" w:hAnsi="Times New Roman" w:cs="Times New Roman"/>
        </w:rPr>
        <w:t>realized</w:t>
      </w:r>
      <w:r w:rsidRPr="00EB39B5">
        <w:rPr>
          <w:rFonts w:ascii="Times New Roman" w:hAnsi="Times New Roman" w:cs="Times New Roman"/>
        </w:rPr>
        <w:t xml:space="preserve"> default rates, and to refine both the scoring weights and the segment-level strategies accordingly.</w:t>
      </w:r>
    </w:p>
    <w:p w14:paraId="008ABA5D" w14:textId="18D0D5A5" w:rsidR="00FC09DE" w:rsidRPr="00EB39B5" w:rsidRDefault="00FC09DE">
      <w:pPr>
        <w:rPr>
          <w:rFonts w:ascii="Times New Roman" w:hAnsi="Times New Roman" w:cs="Times New Roman"/>
        </w:rPr>
      </w:pPr>
      <w:r w:rsidRPr="00EB39B5">
        <w:rPr>
          <w:rFonts w:ascii="Times New Roman" w:hAnsi="Times New Roman" w:cs="Times New Roman"/>
        </w:rPr>
        <w:br w:type="page"/>
      </w:r>
    </w:p>
    <w:p w14:paraId="1B2E141F" w14:textId="73CAD40C" w:rsidR="00FC09DE" w:rsidRPr="00EB39B5" w:rsidRDefault="00991548" w:rsidP="00FC09DE">
      <w:pPr>
        <w:pStyle w:val="Heading1"/>
        <w:rPr>
          <w:rFonts w:ascii="Times New Roman" w:hAnsi="Times New Roman" w:cs="Times New Roman"/>
        </w:rPr>
      </w:pPr>
      <w:bookmarkStart w:id="8" w:name="_Toc235041906"/>
      <w:r w:rsidRPr="00EB39B5">
        <w:rPr>
          <w:rFonts w:ascii="Times New Roman" w:hAnsi="Times New Roman" w:cs="Times New Roman"/>
        </w:rPr>
        <w:lastRenderedPageBreak/>
        <w:t>References</w:t>
      </w:r>
      <w:bookmarkEnd w:id="8"/>
    </w:p>
    <w:p w14:paraId="2B357A37" w14:textId="77777777" w:rsidR="00EB39B5" w:rsidRPr="00EB39B5" w:rsidRDefault="00EB39B5" w:rsidP="00EB39B5">
      <w:pPr>
        <w:numPr>
          <w:ilvl w:val="0"/>
          <w:numId w:val="2"/>
        </w:numPr>
        <w:spacing w:before="100" w:beforeAutospacing="1" w:after="100" w:afterAutospacing="1"/>
        <w:rPr>
          <w:rFonts w:ascii="Times New Roman" w:hAnsi="Times New Roman" w:cs="Times New Roman"/>
        </w:rPr>
      </w:pPr>
      <w:proofErr w:type="spellStart"/>
      <w:r w:rsidRPr="00EB39B5">
        <w:rPr>
          <w:rFonts w:ascii="Times New Roman" w:hAnsi="Times New Roman" w:cs="Times New Roman"/>
        </w:rPr>
        <w:t>Dua</w:t>
      </w:r>
      <w:proofErr w:type="spellEnd"/>
      <w:r w:rsidRPr="00EB39B5">
        <w:rPr>
          <w:rFonts w:ascii="Times New Roman" w:hAnsi="Times New Roman" w:cs="Times New Roman"/>
        </w:rPr>
        <w:t xml:space="preserve">, D., &amp; Graff, C. (2019). </w:t>
      </w:r>
      <w:r w:rsidRPr="00EB39B5">
        <w:rPr>
          <w:rStyle w:val="Emphasis"/>
          <w:rFonts w:ascii="Times New Roman" w:hAnsi="Times New Roman" w:cs="Times New Roman"/>
        </w:rPr>
        <w:t>UCI Machine Learning Repository</w:t>
      </w:r>
      <w:r w:rsidRPr="00EB39B5">
        <w:rPr>
          <w:rFonts w:ascii="Times New Roman" w:hAnsi="Times New Roman" w:cs="Times New Roman"/>
        </w:rPr>
        <w:t xml:space="preserve">. University of California, Irvine, School of Information and Computer Sciences. </w:t>
      </w:r>
      <w:hyperlink r:id="rId15" w:tgtFrame="_new" w:history="1">
        <w:r w:rsidRPr="00EB39B5">
          <w:rPr>
            <w:rStyle w:val="Hyperlink"/>
            <w:rFonts w:ascii="Times New Roman" w:hAnsi="Times New Roman" w:cs="Times New Roman"/>
          </w:rPr>
          <w:t>https://archive.ics.uci.edu/</w:t>
        </w:r>
      </w:hyperlink>
      <w:r w:rsidRPr="00EB39B5">
        <w:rPr>
          <w:rFonts w:ascii="Times New Roman" w:hAnsi="Times New Roman" w:cs="Times New Roman"/>
        </w:rPr>
        <w:t xml:space="preserve"> </w:t>
      </w:r>
    </w:p>
    <w:p w14:paraId="3D9E5CC8" w14:textId="77777777" w:rsidR="00EB39B5" w:rsidRPr="00EB39B5" w:rsidRDefault="00EB39B5" w:rsidP="00EB39B5">
      <w:pPr>
        <w:numPr>
          <w:ilvl w:val="0"/>
          <w:numId w:val="2"/>
        </w:numPr>
        <w:spacing w:before="100" w:beforeAutospacing="1" w:after="100" w:afterAutospacing="1"/>
        <w:rPr>
          <w:rFonts w:ascii="Times New Roman" w:hAnsi="Times New Roman" w:cs="Times New Roman"/>
        </w:rPr>
      </w:pPr>
      <w:r w:rsidRPr="00EB39B5">
        <w:rPr>
          <w:rFonts w:ascii="Times New Roman" w:hAnsi="Times New Roman" w:cs="Times New Roman"/>
        </w:rPr>
        <w:t xml:space="preserve">Yeh, I. C., &amp; Lien, C. H. (2009). </w:t>
      </w:r>
      <w:r w:rsidRPr="00EB39B5">
        <w:rPr>
          <w:rStyle w:val="Emphasis"/>
          <w:rFonts w:ascii="Times New Roman" w:hAnsi="Times New Roman" w:cs="Times New Roman"/>
        </w:rPr>
        <w:t>The comparisons of data mining techniques for the predictive accuracy of probability of default of credit card clients</w:t>
      </w:r>
      <w:r w:rsidRPr="00EB39B5">
        <w:rPr>
          <w:rFonts w:ascii="Times New Roman" w:hAnsi="Times New Roman" w:cs="Times New Roman"/>
        </w:rPr>
        <w:t xml:space="preserve">. Expert Systems with Applications, 36(2), 2473–2480. https://doi.org/10.1016/j.eswa.2007.12.020 </w:t>
      </w:r>
    </w:p>
    <w:p w14:paraId="7F5A4576" w14:textId="34CA3C62" w:rsidR="00EB39B5" w:rsidRPr="00EB39B5" w:rsidRDefault="00EB39B5" w:rsidP="00EB39B5">
      <w:pPr>
        <w:numPr>
          <w:ilvl w:val="0"/>
          <w:numId w:val="2"/>
        </w:numPr>
        <w:spacing w:before="100" w:beforeAutospacing="1" w:after="100" w:afterAutospacing="1"/>
        <w:rPr>
          <w:rFonts w:ascii="Times New Roman" w:hAnsi="Times New Roman" w:cs="Times New Roman"/>
        </w:rPr>
      </w:pPr>
      <w:r w:rsidRPr="00EB39B5">
        <w:rPr>
          <w:rFonts w:ascii="Times New Roman" w:hAnsi="Times New Roman" w:cs="Times New Roman"/>
        </w:rPr>
        <w:t>Exchange Rate</w:t>
      </w:r>
      <w:r w:rsidRPr="00EB39B5">
        <w:rPr>
          <w:rFonts w:ascii="Times New Roman" w:hAnsi="Times New Roman" w:cs="Times New Roman"/>
        </w:rPr>
        <w:t xml:space="preserve">-API. (n.d.). </w:t>
      </w:r>
      <w:r w:rsidRPr="00EB39B5">
        <w:rPr>
          <w:rStyle w:val="Emphasis"/>
          <w:rFonts w:ascii="Times New Roman" w:hAnsi="Times New Roman" w:cs="Times New Roman"/>
        </w:rPr>
        <w:t>Free Exchange Rate API</w:t>
      </w:r>
      <w:r w:rsidRPr="00EB39B5">
        <w:rPr>
          <w:rFonts w:ascii="Times New Roman" w:hAnsi="Times New Roman" w:cs="Times New Roman"/>
        </w:rPr>
        <w:t xml:space="preserve">. </w:t>
      </w:r>
      <w:hyperlink r:id="rId16" w:tgtFrame="_new" w:history="1">
        <w:r w:rsidRPr="00EB39B5">
          <w:rPr>
            <w:rStyle w:val="Hyperlink"/>
            <w:rFonts w:ascii="Times New Roman" w:hAnsi="Times New Roman" w:cs="Times New Roman"/>
          </w:rPr>
          <w:t>https://open.er-api.com/</w:t>
        </w:r>
      </w:hyperlink>
      <w:r w:rsidRPr="00EB39B5">
        <w:rPr>
          <w:rFonts w:ascii="Times New Roman" w:hAnsi="Times New Roman" w:cs="Times New Roman"/>
        </w:rPr>
        <w:t xml:space="preserve"> </w:t>
      </w:r>
    </w:p>
    <w:p w14:paraId="4527B3C8" w14:textId="77777777" w:rsidR="00EB39B5" w:rsidRPr="00EB39B5" w:rsidRDefault="00EB39B5" w:rsidP="00EB39B5">
      <w:pPr>
        <w:numPr>
          <w:ilvl w:val="0"/>
          <w:numId w:val="2"/>
        </w:numPr>
        <w:spacing w:before="100" w:beforeAutospacing="1" w:after="100" w:afterAutospacing="1"/>
        <w:rPr>
          <w:rFonts w:ascii="Times New Roman" w:hAnsi="Times New Roman" w:cs="Times New Roman"/>
        </w:rPr>
      </w:pPr>
      <w:r w:rsidRPr="00EB39B5">
        <w:rPr>
          <w:rFonts w:ascii="Times New Roman" w:hAnsi="Times New Roman" w:cs="Times New Roman"/>
        </w:rPr>
        <w:t xml:space="preserve">Python Software Foundation. (2025). </w:t>
      </w:r>
      <w:r w:rsidRPr="00EB39B5">
        <w:rPr>
          <w:rStyle w:val="Emphasis"/>
          <w:rFonts w:ascii="Times New Roman" w:hAnsi="Times New Roman" w:cs="Times New Roman"/>
        </w:rPr>
        <w:t>Python 3 Documentation</w:t>
      </w:r>
      <w:r w:rsidRPr="00EB39B5">
        <w:rPr>
          <w:rFonts w:ascii="Times New Roman" w:hAnsi="Times New Roman" w:cs="Times New Roman"/>
        </w:rPr>
        <w:t xml:space="preserve">. </w:t>
      </w:r>
      <w:hyperlink r:id="rId17" w:tgtFrame="_new" w:history="1">
        <w:r w:rsidRPr="00EB39B5">
          <w:rPr>
            <w:rStyle w:val="Hyperlink"/>
            <w:rFonts w:ascii="Times New Roman" w:hAnsi="Times New Roman" w:cs="Times New Roman"/>
          </w:rPr>
          <w:t>https://docs.python.org/3/</w:t>
        </w:r>
      </w:hyperlink>
      <w:r w:rsidRPr="00EB39B5">
        <w:rPr>
          <w:rFonts w:ascii="Times New Roman" w:hAnsi="Times New Roman" w:cs="Times New Roman"/>
        </w:rPr>
        <w:t xml:space="preserve"> </w:t>
      </w:r>
    </w:p>
    <w:p w14:paraId="1F28D97F" w14:textId="77777777" w:rsidR="00EB39B5" w:rsidRPr="00EB39B5" w:rsidRDefault="00EB39B5" w:rsidP="00EB39B5">
      <w:pPr>
        <w:numPr>
          <w:ilvl w:val="0"/>
          <w:numId w:val="2"/>
        </w:numPr>
        <w:spacing w:before="100" w:beforeAutospacing="1" w:after="100" w:afterAutospacing="1"/>
        <w:rPr>
          <w:rFonts w:ascii="Times New Roman" w:hAnsi="Times New Roman" w:cs="Times New Roman"/>
        </w:rPr>
      </w:pPr>
      <w:r w:rsidRPr="00EB39B5">
        <w:rPr>
          <w:rFonts w:ascii="Times New Roman" w:hAnsi="Times New Roman" w:cs="Times New Roman"/>
        </w:rPr>
        <w:t xml:space="preserve">McKinney, W. (2022). </w:t>
      </w:r>
      <w:r w:rsidRPr="00EB39B5">
        <w:rPr>
          <w:rStyle w:val="Emphasis"/>
          <w:rFonts w:ascii="Times New Roman" w:hAnsi="Times New Roman" w:cs="Times New Roman"/>
        </w:rPr>
        <w:t>pandas: Python Data Analysis Library</w:t>
      </w:r>
      <w:r w:rsidRPr="00EB39B5">
        <w:rPr>
          <w:rFonts w:ascii="Times New Roman" w:hAnsi="Times New Roman" w:cs="Times New Roman"/>
        </w:rPr>
        <w:t xml:space="preserve">. </w:t>
      </w:r>
      <w:hyperlink r:id="rId18" w:tgtFrame="_new" w:history="1">
        <w:r w:rsidRPr="00EB39B5">
          <w:rPr>
            <w:rStyle w:val="Hyperlink"/>
            <w:rFonts w:ascii="Times New Roman" w:hAnsi="Times New Roman" w:cs="Times New Roman"/>
          </w:rPr>
          <w:t>https://pandas.pydata.org/</w:t>
        </w:r>
      </w:hyperlink>
      <w:r w:rsidRPr="00EB39B5">
        <w:rPr>
          <w:rFonts w:ascii="Times New Roman" w:hAnsi="Times New Roman" w:cs="Times New Roman"/>
        </w:rPr>
        <w:t xml:space="preserve"> </w:t>
      </w:r>
    </w:p>
    <w:p w14:paraId="7D2CAECE" w14:textId="77777777" w:rsidR="00EB39B5" w:rsidRPr="00EB39B5" w:rsidRDefault="00EB39B5" w:rsidP="00EB39B5">
      <w:pPr>
        <w:numPr>
          <w:ilvl w:val="0"/>
          <w:numId w:val="2"/>
        </w:numPr>
        <w:spacing w:before="100" w:beforeAutospacing="1" w:after="100" w:afterAutospacing="1"/>
        <w:rPr>
          <w:rFonts w:ascii="Times New Roman" w:hAnsi="Times New Roman" w:cs="Times New Roman"/>
        </w:rPr>
      </w:pPr>
      <w:r w:rsidRPr="00EB39B5">
        <w:rPr>
          <w:rFonts w:ascii="Times New Roman" w:hAnsi="Times New Roman" w:cs="Times New Roman"/>
        </w:rPr>
        <w:t xml:space="preserve">NumPy Developers. (2025). </w:t>
      </w:r>
      <w:r w:rsidRPr="00EB39B5">
        <w:rPr>
          <w:rStyle w:val="Emphasis"/>
          <w:rFonts w:ascii="Times New Roman" w:hAnsi="Times New Roman" w:cs="Times New Roman"/>
        </w:rPr>
        <w:t>NumPy Documentation</w:t>
      </w:r>
      <w:r w:rsidRPr="00EB39B5">
        <w:rPr>
          <w:rFonts w:ascii="Times New Roman" w:hAnsi="Times New Roman" w:cs="Times New Roman"/>
        </w:rPr>
        <w:t xml:space="preserve">. </w:t>
      </w:r>
      <w:hyperlink r:id="rId19" w:tgtFrame="_new" w:history="1">
        <w:r w:rsidRPr="00EB39B5">
          <w:rPr>
            <w:rStyle w:val="Hyperlink"/>
            <w:rFonts w:ascii="Times New Roman" w:hAnsi="Times New Roman" w:cs="Times New Roman"/>
          </w:rPr>
          <w:t>https://numpy.org/doc/</w:t>
        </w:r>
      </w:hyperlink>
      <w:r w:rsidRPr="00EB39B5">
        <w:rPr>
          <w:rFonts w:ascii="Times New Roman" w:hAnsi="Times New Roman" w:cs="Times New Roman"/>
        </w:rPr>
        <w:t xml:space="preserve"> </w:t>
      </w:r>
    </w:p>
    <w:p w14:paraId="363B1497" w14:textId="77777777" w:rsidR="00EB39B5" w:rsidRPr="00EB39B5" w:rsidRDefault="00EB39B5" w:rsidP="00EB39B5">
      <w:pPr>
        <w:numPr>
          <w:ilvl w:val="0"/>
          <w:numId w:val="2"/>
        </w:numPr>
        <w:spacing w:before="100" w:beforeAutospacing="1" w:after="100" w:afterAutospacing="1"/>
        <w:rPr>
          <w:rFonts w:ascii="Times New Roman" w:hAnsi="Times New Roman" w:cs="Times New Roman"/>
        </w:rPr>
      </w:pPr>
      <w:r w:rsidRPr="00EB39B5">
        <w:rPr>
          <w:rFonts w:ascii="Times New Roman" w:hAnsi="Times New Roman" w:cs="Times New Roman"/>
        </w:rPr>
        <w:t xml:space="preserve">Matplotlib Development Team. (2025). </w:t>
      </w:r>
      <w:r w:rsidRPr="00EB39B5">
        <w:rPr>
          <w:rStyle w:val="Emphasis"/>
          <w:rFonts w:ascii="Times New Roman" w:hAnsi="Times New Roman" w:cs="Times New Roman"/>
        </w:rPr>
        <w:t>Matplotlib Documentation</w:t>
      </w:r>
      <w:r w:rsidRPr="00EB39B5">
        <w:rPr>
          <w:rFonts w:ascii="Times New Roman" w:hAnsi="Times New Roman" w:cs="Times New Roman"/>
        </w:rPr>
        <w:t xml:space="preserve">. </w:t>
      </w:r>
      <w:hyperlink r:id="rId20" w:tgtFrame="_new" w:history="1">
        <w:r w:rsidRPr="00EB39B5">
          <w:rPr>
            <w:rStyle w:val="Hyperlink"/>
            <w:rFonts w:ascii="Times New Roman" w:hAnsi="Times New Roman" w:cs="Times New Roman"/>
          </w:rPr>
          <w:t>https://matplotlib.org/</w:t>
        </w:r>
      </w:hyperlink>
      <w:r w:rsidRPr="00EB39B5">
        <w:rPr>
          <w:rFonts w:ascii="Times New Roman" w:hAnsi="Times New Roman" w:cs="Times New Roman"/>
        </w:rPr>
        <w:t xml:space="preserve"> </w:t>
      </w:r>
    </w:p>
    <w:p w14:paraId="1391B329" w14:textId="1E6A142C" w:rsidR="00EB39B5" w:rsidRPr="00EB39B5" w:rsidRDefault="00EB39B5" w:rsidP="00EB39B5">
      <w:pPr>
        <w:numPr>
          <w:ilvl w:val="0"/>
          <w:numId w:val="2"/>
        </w:numPr>
        <w:spacing w:before="100" w:beforeAutospacing="1" w:after="100" w:afterAutospacing="1"/>
        <w:rPr>
          <w:rFonts w:ascii="Times New Roman" w:hAnsi="Times New Roman" w:cs="Times New Roman"/>
        </w:rPr>
      </w:pPr>
      <w:r w:rsidRPr="00EB39B5">
        <w:rPr>
          <w:rFonts w:ascii="Times New Roman" w:hAnsi="Times New Roman" w:cs="Times New Roman"/>
        </w:rPr>
        <w:t xml:space="preserve">Seaborn Development Team. (2025). </w:t>
      </w:r>
      <w:r w:rsidRPr="00EB39B5">
        <w:rPr>
          <w:rStyle w:val="Emphasis"/>
          <w:rFonts w:ascii="Times New Roman" w:hAnsi="Times New Roman" w:cs="Times New Roman"/>
        </w:rPr>
        <w:t>Seaborn Statistical Data Visualization</w:t>
      </w:r>
      <w:r w:rsidRPr="00EB39B5">
        <w:rPr>
          <w:rFonts w:ascii="Times New Roman" w:hAnsi="Times New Roman" w:cs="Times New Roman"/>
        </w:rPr>
        <w:t xml:space="preserve">. </w:t>
      </w:r>
      <w:hyperlink r:id="rId21" w:tgtFrame="_new" w:history="1">
        <w:r w:rsidRPr="00EB39B5">
          <w:rPr>
            <w:rStyle w:val="Hyperlink"/>
            <w:rFonts w:ascii="Times New Roman" w:hAnsi="Times New Roman" w:cs="Times New Roman"/>
          </w:rPr>
          <w:t>https://seaborn.pydata.org/</w:t>
        </w:r>
      </w:hyperlink>
      <w:r w:rsidRPr="00EB39B5">
        <w:rPr>
          <w:rFonts w:ascii="Times New Roman" w:hAnsi="Times New Roman" w:cs="Times New Roman"/>
        </w:rPr>
        <w:t xml:space="preserve"> </w:t>
      </w:r>
    </w:p>
    <w:p w14:paraId="6694ACD4" w14:textId="1DA3F60E" w:rsidR="00EB39B5" w:rsidRPr="00EB39B5" w:rsidRDefault="00EB39B5" w:rsidP="00EB39B5">
      <w:pPr>
        <w:numPr>
          <w:ilvl w:val="0"/>
          <w:numId w:val="2"/>
        </w:numPr>
        <w:spacing w:before="100" w:beforeAutospacing="1" w:after="100" w:afterAutospacing="1"/>
        <w:rPr>
          <w:rFonts w:ascii="Times New Roman" w:hAnsi="Times New Roman" w:cs="Times New Roman"/>
        </w:rPr>
      </w:pPr>
      <w:r w:rsidRPr="00EB39B5">
        <w:rPr>
          <w:rFonts w:ascii="Times New Roman" w:hAnsi="Times New Roman" w:cs="Times New Roman"/>
        </w:rPr>
        <w:t xml:space="preserve">AI Tools (Google Gemini, Perplexity, </w:t>
      </w:r>
      <w:proofErr w:type="spellStart"/>
      <w:r w:rsidRPr="00EB39B5">
        <w:rPr>
          <w:rFonts w:ascii="Times New Roman" w:hAnsi="Times New Roman" w:cs="Times New Roman"/>
        </w:rPr>
        <w:t>Chatgpt</w:t>
      </w:r>
      <w:proofErr w:type="spellEnd"/>
      <w:r>
        <w:rPr>
          <w:rFonts w:ascii="Times New Roman" w:hAnsi="Times New Roman" w:cs="Times New Roman"/>
        </w:rPr>
        <w:t>, Claude</w:t>
      </w:r>
      <w:r w:rsidRPr="00EB39B5">
        <w:rPr>
          <w:rFonts w:ascii="Times New Roman" w:hAnsi="Times New Roman" w:cs="Times New Roman"/>
        </w:rPr>
        <w:t>)</w:t>
      </w:r>
    </w:p>
    <w:p w14:paraId="7B943CAE" w14:textId="77777777" w:rsidR="00486A46" w:rsidRPr="00EB39B5" w:rsidRDefault="00486A46">
      <w:pPr>
        <w:spacing w:after="160" w:line="276" w:lineRule="auto"/>
        <w:jc w:val="both"/>
        <w:rPr>
          <w:rFonts w:ascii="Times New Roman" w:hAnsi="Times New Roman" w:cs="Times New Roman"/>
        </w:rPr>
      </w:pPr>
    </w:p>
    <w:sectPr w:rsidR="00486A46" w:rsidRPr="00EB39B5">
      <w:headerReference w:type="default" r:id="rId22"/>
      <w:footerReference w:type="default" r:id="rId2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25BAA4" w14:textId="77777777" w:rsidR="00A371AC" w:rsidRDefault="00A371AC">
      <w:r>
        <w:separator/>
      </w:r>
    </w:p>
  </w:endnote>
  <w:endnote w:type="continuationSeparator" w:id="0">
    <w:p w14:paraId="155CC80A" w14:textId="77777777" w:rsidR="00A371AC" w:rsidRDefault="00A371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E05A3" w14:textId="77777777" w:rsidR="00486A46" w:rsidRDefault="00D027D9">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FC09DE">
      <w:rPr>
        <w:noProof/>
        <w:color w:val="888888"/>
        <w:sz w:val="18"/>
        <w:szCs w:val="18"/>
      </w:rPr>
      <w:t>3</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FC09DE">
      <w:rPr>
        <w:noProof/>
        <w:color w:val="888888"/>
        <w:sz w:val="18"/>
        <w:szCs w:val="18"/>
      </w:rPr>
      <w:t>4</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C9E1A0" w14:textId="77777777" w:rsidR="00A371AC" w:rsidRDefault="00A371AC">
      <w:r>
        <w:separator/>
      </w:r>
    </w:p>
  </w:footnote>
  <w:footnote w:type="continuationSeparator" w:id="0">
    <w:p w14:paraId="14BFAE33" w14:textId="77777777" w:rsidR="00A371AC" w:rsidRDefault="00A371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275FBF" w14:textId="77777777" w:rsidR="00486A46" w:rsidRDefault="00D027D9">
    <w:pPr>
      <w:jc w:val="right"/>
    </w:pPr>
    <w:proofErr w:type="spellStart"/>
    <w:r>
      <w:rPr>
        <w:color w:val="888888"/>
        <w:sz w:val="16"/>
        <w:szCs w:val="16"/>
      </w:rPr>
      <w:t>FinTrust</w:t>
    </w:r>
    <w:proofErr w:type="spellEnd"/>
    <w:r>
      <w:rPr>
        <w:color w:val="888888"/>
        <w:sz w:val="16"/>
        <w:szCs w:val="16"/>
      </w:rPr>
      <w:t xml:space="preserve"> Digital Finance — Strategic Insights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847F6B"/>
    <w:multiLevelType w:val="hybridMultilevel"/>
    <w:tmpl w:val="9D9CD6F4"/>
    <w:lvl w:ilvl="0" w:tplc="F12A6BDE">
      <w:start w:val="1"/>
      <w:numFmt w:val="bullet"/>
      <w:lvlText w:val="●"/>
      <w:lvlJc w:val="left"/>
      <w:pPr>
        <w:ind w:left="720" w:hanging="360"/>
      </w:pPr>
    </w:lvl>
    <w:lvl w:ilvl="1" w:tplc="81BEC79E">
      <w:start w:val="1"/>
      <w:numFmt w:val="bullet"/>
      <w:lvlText w:val="○"/>
      <w:lvlJc w:val="left"/>
      <w:pPr>
        <w:ind w:left="1440" w:hanging="360"/>
      </w:pPr>
    </w:lvl>
    <w:lvl w:ilvl="2" w:tplc="73E23900">
      <w:start w:val="1"/>
      <w:numFmt w:val="bullet"/>
      <w:lvlText w:val="■"/>
      <w:lvlJc w:val="left"/>
      <w:pPr>
        <w:ind w:left="2160" w:hanging="360"/>
      </w:pPr>
    </w:lvl>
    <w:lvl w:ilvl="3" w:tplc="1FEAB076">
      <w:start w:val="1"/>
      <w:numFmt w:val="bullet"/>
      <w:lvlText w:val="●"/>
      <w:lvlJc w:val="left"/>
      <w:pPr>
        <w:ind w:left="2880" w:hanging="360"/>
      </w:pPr>
    </w:lvl>
    <w:lvl w:ilvl="4" w:tplc="49B4109C">
      <w:start w:val="1"/>
      <w:numFmt w:val="bullet"/>
      <w:lvlText w:val="○"/>
      <w:lvlJc w:val="left"/>
      <w:pPr>
        <w:ind w:left="3600" w:hanging="360"/>
      </w:pPr>
    </w:lvl>
    <w:lvl w:ilvl="5" w:tplc="B112B0D0">
      <w:start w:val="1"/>
      <w:numFmt w:val="bullet"/>
      <w:lvlText w:val="■"/>
      <w:lvlJc w:val="left"/>
      <w:pPr>
        <w:ind w:left="4320" w:hanging="360"/>
      </w:pPr>
    </w:lvl>
    <w:lvl w:ilvl="6" w:tplc="CE703F54">
      <w:start w:val="1"/>
      <w:numFmt w:val="bullet"/>
      <w:lvlText w:val="●"/>
      <w:lvlJc w:val="left"/>
      <w:pPr>
        <w:ind w:left="5040" w:hanging="360"/>
      </w:pPr>
    </w:lvl>
    <w:lvl w:ilvl="7" w:tplc="039E3034">
      <w:start w:val="1"/>
      <w:numFmt w:val="bullet"/>
      <w:lvlText w:val="●"/>
      <w:lvlJc w:val="left"/>
      <w:pPr>
        <w:ind w:left="5760" w:hanging="360"/>
      </w:pPr>
    </w:lvl>
    <w:lvl w:ilvl="8" w:tplc="BDF04A84">
      <w:start w:val="1"/>
      <w:numFmt w:val="bullet"/>
      <w:lvlText w:val="●"/>
      <w:lvlJc w:val="left"/>
      <w:pPr>
        <w:ind w:left="6480" w:hanging="360"/>
      </w:pPr>
    </w:lvl>
  </w:abstractNum>
  <w:abstractNum w:abstractNumId="1" w15:restartNumberingAfterBreak="0">
    <w:nsid w:val="4E8E5EEC"/>
    <w:multiLevelType w:val="multilevel"/>
    <w:tmpl w:val="B44EB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6A46"/>
    <w:rsid w:val="00187570"/>
    <w:rsid w:val="00296B45"/>
    <w:rsid w:val="00333C49"/>
    <w:rsid w:val="00391BE2"/>
    <w:rsid w:val="00486A46"/>
    <w:rsid w:val="00644DF2"/>
    <w:rsid w:val="00794D43"/>
    <w:rsid w:val="00991548"/>
    <w:rsid w:val="009F558E"/>
    <w:rsid w:val="00A371AC"/>
    <w:rsid w:val="00AB38B8"/>
    <w:rsid w:val="00BD0530"/>
    <w:rsid w:val="00C21403"/>
    <w:rsid w:val="00C304DF"/>
    <w:rsid w:val="00CB0894"/>
    <w:rsid w:val="00D027D9"/>
    <w:rsid w:val="00E46164"/>
    <w:rsid w:val="00EB39B5"/>
    <w:rsid w:val="00FC09DE"/>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B280F"/>
  <w15:docId w15:val="{89C8FC43-555A-4F14-9DFC-F2FC847C9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pBdr>
        <w:bottom w:val="single" w:sz="6" w:space="4" w:color="1F3864"/>
      </w:pBdr>
      <w:spacing w:before="320" w:after="160"/>
      <w:outlineLvl w:val="0"/>
    </w:pPr>
    <w:rPr>
      <w:b/>
      <w:bCs/>
      <w:color w:val="1F3864"/>
      <w:sz w:val="30"/>
      <w:szCs w:val="30"/>
    </w:rPr>
  </w:style>
  <w:style w:type="paragraph" w:styleId="Heading2">
    <w:name w:val="heading 2"/>
    <w:uiPriority w:val="9"/>
    <w:semiHidden/>
    <w:unhideWhenUsed/>
    <w:qFormat/>
    <w:pPr>
      <w:spacing w:before="240" w:after="120"/>
      <w:outlineLvl w:val="1"/>
    </w:pPr>
    <w:rPr>
      <w:b/>
      <w:bCs/>
      <w:color w:val="1F386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FC09DE"/>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FC09DE"/>
    <w:pPr>
      <w:spacing w:after="100"/>
    </w:pPr>
  </w:style>
  <w:style w:type="paragraph" w:styleId="TOC2">
    <w:name w:val="toc 2"/>
    <w:basedOn w:val="Normal"/>
    <w:next w:val="Normal"/>
    <w:autoRedefine/>
    <w:uiPriority w:val="39"/>
    <w:unhideWhenUsed/>
    <w:rsid w:val="00FC09DE"/>
    <w:pPr>
      <w:spacing w:after="100" w:line="259" w:lineRule="auto"/>
      <w:ind w:left="220"/>
    </w:pPr>
    <w:rPr>
      <w:rFonts w:asciiTheme="minorHAnsi" w:eastAsiaTheme="minorEastAsia" w:hAnsiTheme="minorHAnsi" w:cs="Times New Roman"/>
    </w:rPr>
  </w:style>
  <w:style w:type="paragraph" w:styleId="TOC3">
    <w:name w:val="toc 3"/>
    <w:basedOn w:val="Normal"/>
    <w:next w:val="Normal"/>
    <w:autoRedefine/>
    <w:uiPriority w:val="39"/>
    <w:unhideWhenUsed/>
    <w:rsid w:val="00FC09DE"/>
    <w:pPr>
      <w:spacing w:after="100" w:line="259" w:lineRule="auto"/>
      <w:ind w:left="440"/>
    </w:pPr>
    <w:rPr>
      <w:rFonts w:asciiTheme="minorHAnsi" w:eastAsiaTheme="minorEastAsia" w:hAnsiTheme="minorHAnsi" w:cs="Times New Roman"/>
    </w:rPr>
  </w:style>
  <w:style w:type="character" w:customStyle="1" w:styleId="Heading1Char">
    <w:name w:val="Heading 1 Char"/>
    <w:basedOn w:val="DefaultParagraphFont"/>
    <w:link w:val="Heading1"/>
    <w:uiPriority w:val="9"/>
    <w:rsid w:val="00FC09DE"/>
    <w:rPr>
      <w:b/>
      <w:bCs/>
      <w:color w:val="1F3864"/>
      <w:sz w:val="30"/>
      <w:szCs w:val="30"/>
    </w:rPr>
  </w:style>
  <w:style w:type="character" w:styleId="Emphasis">
    <w:name w:val="Emphasis"/>
    <w:basedOn w:val="DefaultParagraphFont"/>
    <w:uiPriority w:val="20"/>
    <w:qFormat/>
    <w:rsid w:val="00EB39B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4019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pandas.pydata.org/" TargetMode="External"/><Relationship Id="rId3" Type="http://schemas.openxmlformats.org/officeDocument/2006/relationships/styles" Target="styles.xml"/><Relationship Id="rId21" Type="http://schemas.openxmlformats.org/officeDocument/2006/relationships/hyperlink" Target="https://seaborn.pydata.org/"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cs.python.org/3/"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open.er-api.com/" TargetMode="External"/><Relationship Id="rId20" Type="http://schemas.openxmlformats.org/officeDocument/2006/relationships/hyperlink" Target="https://matplotlib.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archive.ics.uci.edu/" TargetMode="External"/><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numpy.org/doc/"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A8AECF-BDD1-4985-BE41-5F691FFD42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Pages>
  <Words>3394</Words>
  <Characters>19348</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Ruvinda Shaluka Perera</cp:lastModifiedBy>
  <cp:revision>16</cp:revision>
  <cp:lastPrinted>2026-07-15T15:38:00Z</cp:lastPrinted>
  <dcterms:created xsi:type="dcterms:W3CDTF">2026-07-15T06:48:00Z</dcterms:created>
  <dcterms:modified xsi:type="dcterms:W3CDTF">2026-07-15T15:38:00Z</dcterms:modified>
</cp:coreProperties>
</file>