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100"/>
        <w:jc w:val="center"/>
      </w:pPr>
      <w:r>
        <w:rPr>
          <w:rFonts w:ascii="Times New Roman" w:hAnsi="Times New Roman" w:eastAsia="Times New Roman"/>
          <w:b/>
          <w:sz w:val="32"/>
        </w:rPr>
        <w:t>AI-ENABLED WELIGAMA COCONUT LEAF WILT DISEASE CLASSIFICATION AND COMPUTATIONAL SEVERITY ASSESSMENT</w:t>
      </w:r>
    </w:p>
    <w:p>
      <w:pPr>
        <w:widowControl/>
      </w:pPr>
    </w:p>
    <w:p>
      <w:pPr>
        <w:widowControl/>
      </w:pPr>
    </w:p>
    <w:p>
      <w:pPr>
        <w:widowControl/>
      </w:pPr>
    </w:p>
    <w:p>
      <w:pPr>
        <w:widowControl/>
      </w:pPr>
    </w:p>
    <w:p>
      <w:pPr>
        <w:widowControl/>
        <w:jc w:val="center"/>
      </w:pPr>
      <w:r>
        <w:rPr>
          <w:rFonts w:ascii="Times New Roman" w:hAnsi="Times New Roman" w:eastAsia="Times New Roman"/>
          <w:b/>
          <w:sz w:val="32"/>
        </w:rPr>
        <w:t>INDIVIDUAL THESIS</w:t>
      </w:r>
    </w:p>
    <w:p>
      <w:pPr>
        <w:widowControl/>
      </w:pPr>
    </w:p>
    <w:p>
      <w:pPr>
        <w:widowControl/>
      </w:pPr>
    </w:p>
    <w:p>
      <w:pPr>
        <w:widowControl/>
        <w:jc w:val="center"/>
      </w:pPr>
      <w:r>
        <w:rPr>
          <w:rFonts w:ascii="Times New Roman" w:hAnsi="Times New Roman" w:eastAsia="Times New Roman"/>
          <w:sz w:val="28"/>
        </w:rPr>
        <w:t>[Student full name]</w:t>
      </w:r>
    </w:p>
    <w:p>
      <w:pPr>
        <w:widowControl/>
        <w:jc w:val="center"/>
      </w:pPr>
      <w:r>
        <w:rPr>
          <w:rFonts w:ascii="Times New Roman" w:hAnsi="Times New Roman" w:eastAsia="Times New Roman"/>
          <w:sz w:val="28"/>
        </w:rPr>
        <w:t>([Student ID])</w:t>
      </w:r>
    </w:p>
    <w:p>
      <w:pPr>
        <w:widowControl/>
        <w:jc w:val="center"/>
      </w:pPr>
      <w:r>
        <w:rPr>
          <w:rFonts w:ascii="Times New Roman" w:hAnsi="Times New Roman" w:eastAsia="Times New Roman"/>
          <w:b/>
          <w:sz w:val="24"/>
        </w:rPr>
        <w:t>Individual component: WCLWD Classification, Explainability, Weakly Supervised Segmentation and Severity Assessment</w:t>
      </w:r>
    </w:p>
    <w:p>
      <w:pPr>
        <w:widowControl/>
        <w:jc w:val="center"/>
      </w:pPr>
      <w:r>
        <w:rPr>
          <w:rFonts w:ascii="Times New Roman" w:hAnsi="Times New Roman" w:eastAsia="Times New Roman"/>
          <w:sz w:val="24"/>
        </w:rPr>
        <w:t>Group ID: [Group ID]</w:t>
      </w:r>
    </w:p>
    <w:p>
      <w:pPr>
        <w:widowControl/>
      </w:pPr>
    </w:p>
    <w:p>
      <w:pPr>
        <w:widowControl/>
      </w:pPr>
    </w:p>
    <w:p>
      <w:pPr>
        <w:widowControl/>
        <w:jc w:val="center"/>
      </w:pPr>
      <w:r>
        <w:rPr>
          <w:rFonts w:ascii="Times New Roman" w:hAnsi="Times New Roman" w:eastAsia="Times New Roman"/>
          <w:b w:val="0"/>
          <w:sz w:val="24"/>
        </w:rPr>
        <w:t>Report submitted in partial fulfilment of the requirements for the</w:t>
      </w:r>
    </w:p>
    <w:p>
      <w:pPr>
        <w:widowControl/>
        <w:jc w:val="center"/>
      </w:pPr>
      <w:r>
        <w:rPr>
          <w:rFonts w:ascii="Times New Roman" w:hAnsi="Times New Roman" w:eastAsia="Times New Roman"/>
          <w:b/>
          <w:sz w:val="24"/>
        </w:rPr>
        <w:t>[Official degree title]</w:t>
      </w:r>
    </w:p>
    <w:p>
      <w:pPr>
        <w:widowControl/>
        <w:jc w:val="center"/>
      </w:pPr>
      <w:r>
        <w:rPr>
          <w:rFonts w:ascii="Times New Roman" w:hAnsi="Times New Roman" w:eastAsia="Times New Roman"/>
          <w:b w:val="0"/>
          <w:sz w:val="24"/>
        </w:rPr>
        <w:t>[Specialisation, if applicable]</w:t>
      </w:r>
    </w:p>
    <w:p>
      <w:pPr>
        <w:widowControl/>
        <w:jc w:val="center"/>
      </w:pPr>
      <w:r>
        <w:rPr>
          <w:rFonts w:ascii="Times New Roman" w:hAnsi="Times New Roman" w:eastAsia="Times New Roman"/>
          <w:b/>
          <w:sz w:val="24"/>
        </w:rPr>
        <w:t>Department of [Department name]</w:t>
      </w:r>
    </w:p>
    <w:p>
      <w:pPr>
        <w:widowControl/>
        <w:jc w:val="center"/>
      </w:pPr>
      <w:r>
        <w:rPr>
          <w:rFonts w:ascii="Times New Roman" w:hAnsi="Times New Roman" w:eastAsia="Times New Roman"/>
          <w:b w:val="0"/>
          <w:sz w:val="24"/>
        </w:rPr>
        <w:t>Sri Lanka Institute of Information Technology</w:t>
      </w:r>
    </w:p>
    <w:p>
      <w:pPr>
        <w:widowControl/>
        <w:jc w:val="center"/>
      </w:pPr>
      <w:r>
        <w:rPr>
          <w:rFonts w:ascii="Times New Roman" w:hAnsi="Times New Roman" w:eastAsia="Times New Roman"/>
          <w:b w:val="0"/>
          <w:sz w:val="24"/>
        </w:rPr>
        <w:t>Sri Lanka</w:t>
      </w:r>
    </w:p>
    <w:p>
      <w:pPr>
        <w:widowControl/>
        <w:jc w:val="center"/>
      </w:pPr>
      <w:r>
        <w:rPr>
          <w:rFonts w:ascii="Times New Roman" w:hAnsi="Times New Roman" w:eastAsia="Times New Roman"/>
          <w:b w:val="0"/>
          <w:sz w:val="24"/>
        </w:rPr>
        <w:t>[Month Year]</w:t>
      </w:r>
    </w:p>
    <w:p>
      <w:pPr>
        <w:widowControl/>
      </w:pPr>
      <w:r>
        <w:br w:type="page"/>
      </w:r>
    </w:p>
    <w:p>
      <w:pPr>
        <w:widowControl/>
        <w:jc w:val="center"/>
      </w:pPr>
      <w:r>
        <w:rPr>
          <w:rFonts w:ascii="Times New Roman" w:hAnsi="Times New Roman" w:eastAsia="Times New Roman"/>
          <w:b/>
          <w:sz w:val="28"/>
        </w:rPr>
        <w:t>DECLARATION AND SUPERVISOR CERTIFICATION</w:t>
      </w:r>
    </w:p>
    <w:p>
      <w:pPr>
        <w:widowControl/>
      </w:pPr>
      <w:r>
        <w:rPr>
          <w:rFonts w:ascii="Times New Roman" w:hAnsi="Times New Roman" w:eastAsia="Times New Roman"/>
          <w:i w:val="0"/>
          <w:sz w:val="24"/>
        </w:rPr>
        <w:t>Candidate declaration. I declare that this thesis is my own work and does not incorporate, without acknowledgement, material previously submitted for a degree or diploma at any university or institute of higher learning. To the best of my knowledge, it contains no material previously published or written by another person except where acknowledgement is made in the text. I grant the Sri Lanka Institute of Information Technology the non-exclusive right to reproduce and distribute this thesis, in whole or in part, in print, electronic, or other media, while retaining the right to use the content in future work.</w:t>
      </w:r>
    </w:p>
    <w:p>
      <w:pPr>
        <w:widowControl/>
      </w:pPr>
      <w:r>
        <w:rPr>
          <w:rFonts w:ascii="Times New Roman" w:hAnsi="Times New Roman" w:eastAsia="Times New Roman"/>
          <w:i w:val="0"/>
          <w:sz w:val="24"/>
        </w:rPr>
        <w:t>Academic integrity and AI disclosure. I have disclosed all use of generative AI and other automated tools in accordance with the module policy. I remain responsible for the accuracy, originality, citations, code, data, analyses, and conclusions in this thesis.</w:t>
      </w:r>
    </w:p>
    <w:p>
      <w:pPr>
        <w:widowControl/>
      </w:pPr>
      <w:r>
        <w:rPr>
          <w:rFonts w:ascii="Times New Roman" w:hAnsi="Times New Roman" w:eastAsia="Times New Roman"/>
          <w:i w:val="0"/>
          <w:sz w:val="24"/>
        </w:rPr>
        <w:t>Student name: [Full name]</w:t>
      </w:r>
    </w:p>
    <w:p>
      <w:pPr>
        <w:widowControl/>
      </w:pPr>
      <w:r>
        <w:rPr>
          <w:rFonts w:ascii="Times New Roman" w:hAnsi="Times New Roman" w:eastAsia="Times New Roman"/>
          <w:i w:val="0"/>
          <w:sz w:val="24"/>
        </w:rPr>
        <w:t>Student ID: [Student ID]</w:t>
      </w:r>
    </w:p>
    <w:p>
      <w:pPr>
        <w:widowControl/>
      </w:pPr>
      <w:r>
        <w:rPr>
          <w:rFonts w:ascii="Times New Roman" w:hAnsi="Times New Roman" w:eastAsia="Times New Roman"/>
          <w:i w:val="0"/>
          <w:sz w:val="24"/>
        </w:rPr>
        <w:t>Signature: ______________________________                         Date: ____________</w:t>
      </w:r>
    </w:p>
    <w:p>
      <w:pPr>
        <w:widowControl/>
      </w:pPr>
    </w:p>
    <w:p>
      <w:pPr>
        <w:widowControl/>
      </w:pPr>
      <w:r>
        <w:rPr>
          <w:rFonts w:ascii="Times New Roman" w:hAnsi="Times New Roman" w:eastAsia="Times New Roman"/>
          <w:i w:val="0"/>
          <w:sz w:val="24"/>
        </w:rPr>
        <w:t>Supervisor certification. The above candidate carried out this research for the bachelor's degree thesis under my supervision.</w:t>
      </w:r>
    </w:p>
    <w:p>
      <w:pPr>
        <w:widowControl/>
      </w:pPr>
      <w:r>
        <w:rPr>
          <w:rFonts w:ascii="Times New Roman" w:hAnsi="Times New Roman" w:eastAsia="Times New Roman"/>
          <w:i w:val="0"/>
          <w:sz w:val="24"/>
        </w:rPr>
        <w:t>Supervisor: [Name]                         Signature: ____________________     Date: ____________</w:t>
      </w:r>
    </w:p>
    <w:p>
      <w:pPr>
        <w:widowControl/>
      </w:pPr>
      <w:r>
        <w:rPr>
          <w:rFonts w:ascii="Times New Roman" w:hAnsi="Times New Roman" w:eastAsia="Times New Roman"/>
          <w:i w:val="0"/>
          <w:sz w:val="24"/>
        </w:rPr>
        <w:t>Co-supervisor: [Name, if applicable]         Signature: ____________________     Date: ____________</w:t>
      </w:r>
    </w:p>
    <w:p>
      <w:pPr>
        <w:widowControl/>
      </w:pPr>
      <w:r>
        <w:br w:type="page"/>
      </w:r>
    </w:p>
    <w:p>
      <w:pPr>
        <w:widowControl/>
        <w:jc w:val="center"/>
      </w:pPr>
      <w:r>
        <w:rPr>
          <w:rFonts w:ascii="Times New Roman" w:hAnsi="Times New Roman" w:eastAsia="Times New Roman"/>
          <w:b/>
          <w:sz w:val="24"/>
        </w:rPr>
        <w:t>ABSTRACT</w:t>
      </w:r>
    </w:p>
    <w:p>
      <w:pPr>
        <w:widowControl/>
        <w:spacing w:line="240" w:lineRule="auto"/>
      </w:pPr>
      <w:r>
        <w:rPr>
          <w:rFonts w:ascii="Times New Roman" w:hAnsi="Times New Roman" w:eastAsia="Times New Roman"/>
          <w:i w:val="0"/>
          <w:sz w:val="24"/>
        </w:rPr>
        <w:t>Weligama Coconut Leaf Wilt Disease (WCLWD) is a serious coconut health problem in southern Sri Lanka, and its visible symptoms can be confused with other leaf disorders. This thesis presents an individual research component that combines four-class image classification, visual explanation, weakly supervised pseudo-segmentation and a computational severity score. A publicly available Coconut Diseases and Pest Infestations dataset was used, with 3,354 deduplicated images across Healthy Leaves, WCLWD Drying of Leaflets, WCLWD Flaccidity and WCLWD Yellowing. Perceptual hashing and group-based splitting were applied to reduce the risk of visually similar or augmented images crossing training, validation and test partitions. The final notebook implements a pretrained EfficientNet-B0 classifier with 224 × 224 inputs and a 70/15/15 approximate group split. Image preprocessing includes colour-space conversion, coloured-noise reduction, CLAHE contrast enhancement and ImageNet normalization. The best validation accuracy was 99.21%, while the held-out test accuracy was 98.79%, with weighted precision of 98.80%, recall of 98.79% and F1-score of 98.77%. Grad-CAM activations were converted into pseudo-masks using image-specific Otsu thresholding, GrabCut and morphological cleanup. The resulting masks support an ABCD-inspired computational Disease Severity Index (DSI) combining asymmetry, border irregularity, colour variation, spatial distribution and affected-area percentage. The classification results demonstrate strong performance on the selected dataset. However, the pseudo-masks do not have manually annotated pixel-level ground truth, and the DSI weights and severity thresholds have not been validated against expert agronomic assessments. The component is therefore a decision-support prototype rather than a clinically or agronomically validated diagnostic instrument.</w:t>
      </w:r>
    </w:p>
    <w:p>
      <w:pPr>
        <w:widowControl/>
        <w:spacing w:line="240" w:lineRule="auto"/>
      </w:pPr>
      <w:r>
        <w:rPr>
          <w:rFonts w:ascii="Times New Roman" w:hAnsi="Times New Roman" w:eastAsia="Times New Roman"/>
          <w:i w:val="0"/>
          <w:sz w:val="24"/>
        </w:rPr>
        <w:t>Keywords: WCLWD, EfficientNet-B0, Grad-CAM, weakly supervised segmentation, Disease Severity Index</w:t>
      </w:r>
    </w:p>
    <w:p>
      <w:pPr>
        <w:widowControl/>
      </w:pPr>
      <w:r>
        <w:br w:type="page"/>
      </w:r>
    </w:p>
    <w:p>
      <w:pPr>
        <w:widowControl/>
        <w:jc w:val="center"/>
      </w:pPr>
      <w:r>
        <w:rPr>
          <w:rFonts w:ascii="Times New Roman" w:hAnsi="Times New Roman" w:eastAsia="Times New Roman"/>
          <w:b/>
          <w:sz w:val="28"/>
        </w:rPr>
        <w:t>ACKNOWLEDGEMENTS</w:t>
      </w:r>
    </w:p>
    <w:p>
      <w:pPr>
        <w:widowControl/>
      </w:pPr>
      <w:r>
        <w:rPr>
          <w:rFonts w:ascii="Times New Roman" w:hAnsi="Times New Roman" w:eastAsia="Times New Roman"/>
          <w:i w:val="0"/>
          <w:sz w:val="24"/>
        </w:rPr>
        <w:t>I would like to express my sincere appreciation to my research supervisor and academic staff for their guidance, feedback and support throughout the development of this individual research component. I also acknowledge the contribution of my group members, whose work on the wider coconut intelligence platform provided the system context in which this component operates. The public dataset contributors and the researchers whose published work informed the design of the classification and image-analysis pipeline are gratefully acknowledged. This section should be updated before submission to accurately name the supervisor, group members, institutions and any other individuals or organisations that directly assisted the work.</w:t>
      </w:r>
    </w:p>
    <w:p>
      <w:pPr>
        <w:widowControl/>
      </w:pPr>
      <w:r>
        <w:br w:type="page"/>
      </w:r>
    </w:p>
    <w:p>
      <w:pPr>
        <w:widowControl/>
        <w:jc w:val="center"/>
      </w:pPr>
      <w:r>
        <w:rPr>
          <w:rFonts w:ascii="Times New Roman" w:hAnsi="Times New Roman" w:eastAsia="Times New Roman"/>
          <w:b/>
          <w:sz w:val="28"/>
        </w:rPr>
        <w:t>TABLE OF CONTENTS</w:t>
      </w:r>
    </w:p>
    <w:p>
      <w:pPr>
        <w:widowControl/>
      </w:pPr>
      <w:r>
        <w:fldChar w:fldCharType="begin"/>
        <w:instrText xml:space="preserve">TOC \o "1-3" \h \z \u</w:instrText>
        <w:fldChar w:fldCharType="end"/>
      </w:r>
    </w:p>
    <w:p>
      <w:pPr>
        <w:widowControl/>
      </w:pPr>
      <w:r>
        <w:rPr>
          <w:rFonts w:ascii="Times New Roman" w:hAnsi="Times New Roman" w:eastAsia="Times New Roman"/>
          <w:i/>
          <w:sz w:val="24"/>
        </w:rPr>
        <w:t>If the table of contents is not populated automatically, open the document in Microsoft Word, select the table and choose Update Field &gt; Update entire table.</w:t>
      </w:r>
    </w:p>
    <w:p>
      <w:pPr>
        <w:widowControl/>
      </w:pPr>
      <w:r>
        <w:br w:type="page"/>
      </w:r>
    </w:p>
    <w:p>
      <w:pPr>
        <w:widowControl/>
        <w:jc w:val="center"/>
      </w:pPr>
      <w:r>
        <w:rPr>
          <w:rFonts w:ascii="Times New Roman" w:hAnsi="Times New Roman" w:eastAsia="Times New Roman"/>
          <w:b/>
          <w:sz w:val="28"/>
        </w:rPr>
        <w:t>LIST OF FIGURES</w:t>
      </w:r>
    </w:p>
    <w:p>
      <w:pPr>
        <w:widowControl/>
      </w:pPr>
      <w:r>
        <w:rPr>
          <w:rFonts w:ascii="Times New Roman" w:hAnsi="Times New Roman" w:eastAsia="Times New Roman"/>
          <w:i w:val="0"/>
          <w:sz w:val="24"/>
        </w:rPr>
        <w:t>Figure captions should be added and updated using Word's References &gt; Insert Caption feature. Figure numbering should follow the chapter, for example Figure 3.1.</w:t>
      </w:r>
    </w:p>
    <w:p>
      <w:pPr>
        <w:widowControl/>
      </w:pPr>
      <w:r>
        <w:br w:type="page"/>
      </w:r>
    </w:p>
    <w:p>
      <w:pPr>
        <w:widowControl/>
        <w:jc w:val="center"/>
      </w:pPr>
      <w:r>
        <w:rPr>
          <w:rFonts w:ascii="Times New Roman" w:hAnsi="Times New Roman" w:eastAsia="Times New Roman"/>
          <w:b/>
          <w:sz w:val="28"/>
        </w:rPr>
        <w:t>LIST OF TABLES</w:t>
      </w:r>
    </w:p>
    <w:p>
      <w:pPr>
        <w:widowControl/>
      </w:pPr>
      <w:r>
        <w:rPr>
          <w:rFonts w:ascii="Times New Roman" w:hAnsi="Times New Roman" w:eastAsia="Times New Roman"/>
          <w:i w:val="0"/>
          <w:sz w:val="24"/>
        </w:rPr>
        <w:t>Table captions should be added and updated using Word's References &gt; Insert Caption feature. Table numbering should follow the chapter, for example Table 3.1.</w:t>
      </w:r>
    </w:p>
    <w:p>
      <w:pPr>
        <w:widowControl/>
      </w:pPr>
      <w:r>
        <w:br w:type="page"/>
      </w:r>
    </w:p>
    <w:p>
      <w:pPr>
        <w:widowControl/>
        <w:jc w:val="center"/>
      </w:pPr>
      <w:r>
        <w:rPr>
          <w:rFonts w:ascii="Times New Roman" w:hAnsi="Times New Roman" w:eastAsia="Times New Roman"/>
          <w:b/>
          <w:sz w:val="28"/>
        </w:rPr>
        <w:t>LIST OF ABBREVIATIONS</w:t>
      </w:r>
    </w:p>
    <w:tbl>
      <w:tblPr>
        <w:tblStyle w:val="TableGrid"/>
        <w:tblW w:type="auto" w:w="0"/>
        <w:jc w:val="center"/>
        <w:tblLook w:firstColumn="1" w:firstRow="1" w:lastColumn="0" w:lastRow="0" w:noHBand="0" w:noVBand="1" w:val="04A0"/>
      </w:tblPr>
      <w:tblGrid>
        <w:gridCol w:w="4110"/>
        <w:gridCol w:w="4110"/>
      </w:tblGrid>
      <w:tr>
        <w:tc>
          <w:tcPr>
            <w:tcW w:type="dxa" w:w="4110"/>
            <w:vAlign w:val="center"/>
          </w:tcPr>
          <w:p>
            <w:r>
              <w:rPr>
                <w:rFonts w:ascii="Times New Roman" w:hAnsi="Times New Roman" w:eastAsia="Times New Roman"/>
                <w:b/>
                <w:sz w:val="20"/>
              </w:rPr>
              <w:t>Abbreviation</w:t>
            </w:r>
          </w:p>
        </w:tc>
        <w:tc>
          <w:tcPr>
            <w:tcW w:type="dxa" w:w="4110"/>
            <w:vAlign w:val="center"/>
          </w:tcPr>
          <w:p>
            <w:r>
              <w:rPr>
                <w:rFonts w:ascii="Times New Roman" w:hAnsi="Times New Roman" w:eastAsia="Times New Roman"/>
                <w:b/>
                <w:sz w:val="20"/>
              </w:rPr>
              <w:t>Meaning</w:t>
            </w:r>
          </w:p>
        </w:tc>
      </w:tr>
      <w:tr>
        <w:tc>
          <w:tcPr>
            <w:tcW w:type="dxa" w:w="4110"/>
            <w:vAlign w:val="center"/>
          </w:tcPr>
          <w:p>
            <w:pPr>
              <w:spacing w:line="240" w:lineRule="auto" w:after="40"/>
            </w:pPr>
            <w:r>
              <w:rPr>
                <w:rFonts w:ascii="Times New Roman" w:hAnsi="Times New Roman" w:eastAsia="Times New Roman"/>
                <w:sz w:val="20"/>
              </w:rPr>
              <w:t>ABCD</w:t>
            </w:r>
          </w:p>
        </w:tc>
        <w:tc>
          <w:tcPr>
            <w:tcW w:type="dxa" w:w="4110"/>
            <w:vAlign w:val="center"/>
          </w:tcPr>
          <w:p>
            <w:pPr>
              <w:spacing w:line="240" w:lineRule="auto" w:after="40"/>
            </w:pPr>
            <w:r>
              <w:rPr>
                <w:rFonts w:ascii="Times New Roman" w:hAnsi="Times New Roman" w:eastAsia="Times New Roman"/>
                <w:sz w:val="20"/>
              </w:rPr>
              <w:t>Asymmetry, Border irregularity, Colour variation and Diameter/distribution-inspired features</w:t>
            </w:r>
          </w:p>
        </w:tc>
      </w:tr>
      <w:tr>
        <w:tc>
          <w:tcPr>
            <w:tcW w:type="dxa" w:w="4110"/>
            <w:vAlign w:val="center"/>
          </w:tcPr>
          <w:p>
            <w:pPr>
              <w:spacing w:line="240" w:lineRule="auto" w:after="40"/>
            </w:pPr>
            <w:r>
              <w:rPr>
                <w:rFonts w:ascii="Times New Roman" w:hAnsi="Times New Roman" w:eastAsia="Times New Roman"/>
                <w:sz w:val="20"/>
              </w:rPr>
              <w:t>AI</w:t>
            </w:r>
          </w:p>
        </w:tc>
        <w:tc>
          <w:tcPr>
            <w:tcW w:type="dxa" w:w="4110"/>
            <w:vAlign w:val="center"/>
          </w:tcPr>
          <w:p>
            <w:pPr>
              <w:spacing w:line="240" w:lineRule="auto" w:after="40"/>
            </w:pPr>
            <w:r>
              <w:rPr>
                <w:rFonts w:ascii="Times New Roman" w:hAnsi="Times New Roman" w:eastAsia="Times New Roman"/>
                <w:sz w:val="20"/>
              </w:rPr>
              <w:t>Artificial Intelligence</w:t>
            </w:r>
          </w:p>
        </w:tc>
      </w:tr>
      <w:tr>
        <w:tc>
          <w:tcPr>
            <w:tcW w:type="dxa" w:w="4110"/>
            <w:vAlign w:val="center"/>
          </w:tcPr>
          <w:p>
            <w:pPr>
              <w:spacing w:line="240" w:lineRule="auto" w:after="40"/>
            </w:pPr>
            <w:r>
              <w:rPr>
                <w:rFonts w:ascii="Times New Roman" w:hAnsi="Times New Roman" w:eastAsia="Times New Roman"/>
                <w:sz w:val="20"/>
              </w:rPr>
              <w:t>CLAHE</w:t>
            </w:r>
          </w:p>
        </w:tc>
        <w:tc>
          <w:tcPr>
            <w:tcW w:type="dxa" w:w="4110"/>
            <w:vAlign w:val="center"/>
          </w:tcPr>
          <w:p>
            <w:pPr>
              <w:spacing w:line="240" w:lineRule="auto" w:after="40"/>
            </w:pPr>
            <w:r>
              <w:rPr>
                <w:rFonts w:ascii="Times New Roman" w:hAnsi="Times New Roman" w:eastAsia="Times New Roman"/>
                <w:sz w:val="20"/>
              </w:rPr>
              <w:t>Contrast Limited Adaptive Histogram Equalization</w:t>
            </w:r>
          </w:p>
        </w:tc>
      </w:tr>
      <w:tr>
        <w:tc>
          <w:tcPr>
            <w:tcW w:type="dxa" w:w="4110"/>
            <w:vAlign w:val="center"/>
          </w:tcPr>
          <w:p>
            <w:pPr>
              <w:spacing w:line="240" w:lineRule="auto" w:after="40"/>
            </w:pPr>
            <w:r>
              <w:rPr>
                <w:rFonts w:ascii="Times New Roman" w:hAnsi="Times New Roman" w:eastAsia="Times New Roman"/>
                <w:sz w:val="20"/>
              </w:rPr>
              <w:t>CNN</w:t>
            </w:r>
          </w:p>
        </w:tc>
        <w:tc>
          <w:tcPr>
            <w:tcW w:type="dxa" w:w="4110"/>
            <w:vAlign w:val="center"/>
          </w:tcPr>
          <w:p>
            <w:pPr>
              <w:spacing w:line="240" w:lineRule="auto" w:after="40"/>
            </w:pPr>
            <w:r>
              <w:rPr>
                <w:rFonts w:ascii="Times New Roman" w:hAnsi="Times New Roman" w:eastAsia="Times New Roman"/>
                <w:sz w:val="20"/>
              </w:rPr>
              <w:t>Convolutional Neural Network</w:t>
            </w:r>
          </w:p>
        </w:tc>
      </w:tr>
      <w:tr>
        <w:tc>
          <w:tcPr>
            <w:tcW w:type="dxa" w:w="4110"/>
            <w:vAlign w:val="center"/>
          </w:tcPr>
          <w:p>
            <w:pPr>
              <w:spacing w:line="240" w:lineRule="auto" w:after="40"/>
            </w:pPr>
            <w:r>
              <w:rPr>
                <w:rFonts w:ascii="Times New Roman" w:hAnsi="Times New Roman" w:eastAsia="Times New Roman"/>
                <w:sz w:val="20"/>
              </w:rPr>
              <w:t>DSI</w:t>
            </w:r>
          </w:p>
        </w:tc>
        <w:tc>
          <w:tcPr>
            <w:tcW w:type="dxa" w:w="4110"/>
            <w:vAlign w:val="center"/>
          </w:tcPr>
          <w:p>
            <w:pPr>
              <w:spacing w:line="240" w:lineRule="auto" w:after="40"/>
            </w:pPr>
            <w:r>
              <w:rPr>
                <w:rFonts w:ascii="Times New Roman" w:hAnsi="Times New Roman" w:eastAsia="Times New Roman"/>
                <w:sz w:val="20"/>
              </w:rPr>
              <w:t>Disease Severity Index</w:t>
            </w:r>
          </w:p>
        </w:tc>
      </w:tr>
      <w:tr>
        <w:tc>
          <w:tcPr>
            <w:tcW w:type="dxa" w:w="4110"/>
            <w:vAlign w:val="center"/>
          </w:tcPr>
          <w:p>
            <w:pPr>
              <w:spacing w:line="240" w:lineRule="auto" w:after="40"/>
            </w:pPr>
            <w:r>
              <w:rPr>
                <w:rFonts w:ascii="Times New Roman" w:hAnsi="Times New Roman" w:eastAsia="Times New Roman"/>
                <w:sz w:val="20"/>
              </w:rPr>
              <w:t>F1</w:t>
            </w:r>
          </w:p>
        </w:tc>
        <w:tc>
          <w:tcPr>
            <w:tcW w:type="dxa" w:w="4110"/>
            <w:vAlign w:val="center"/>
          </w:tcPr>
          <w:p>
            <w:pPr>
              <w:spacing w:line="240" w:lineRule="auto" w:after="40"/>
            </w:pPr>
            <w:r>
              <w:rPr>
                <w:rFonts w:ascii="Times New Roman" w:hAnsi="Times New Roman" w:eastAsia="Times New Roman"/>
                <w:sz w:val="20"/>
              </w:rPr>
              <w:t>Harmonic mean of precision and recall</w:t>
            </w:r>
          </w:p>
        </w:tc>
      </w:tr>
      <w:tr>
        <w:tc>
          <w:tcPr>
            <w:tcW w:type="dxa" w:w="4110"/>
            <w:vAlign w:val="center"/>
          </w:tcPr>
          <w:p>
            <w:pPr>
              <w:spacing w:line="240" w:lineRule="auto" w:after="40"/>
            </w:pPr>
            <w:r>
              <w:rPr>
                <w:rFonts w:ascii="Times New Roman" w:hAnsi="Times New Roman" w:eastAsia="Times New Roman"/>
                <w:sz w:val="20"/>
              </w:rPr>
              <w:t>Grad-CAM</w:t>
            </w:r>
          </w:p>
        </w:tc>
        <w:tc>
          <w:tcPr>
            <w:tcW w:type="dxa" w:w="4110"/>
            <w:vAlign w:val="center"/>
          </w:tcPr>
          <w:p>
            <w:pPr>
              <w:spacing w:line="240" w:lineRule="auto" w:after="40"/>
            </w:pPr>
            <w:r>
              <w:rPr>
                <w:rFonts w:ascii="Times New Roman" w:hAnsi="Times New Roman" w:eastAsia="Times New Roman"/>
                <w:sz w:val="20"/>
              </w:rPr>
              <w:t>Gradient-weighted Class Activation Mapping</w:t>
            </w:r>
          </w:p>
        </w:tc>
      </w:tr>
      <w:tr>
        <w:tc>
          <w:tcPr>
            <w:tcW w:type="dxa" w:w="4110"/>
            <w:vAlign w:val="center"/>
          </w:tcPr>
          <w:p>
            <w:pPr>
              <w:spacing w:line="240" w:lineRule="auto" w:after="40"/>
            </w:pPr>
            <w:r>
              <w:rPr>
                <w:rFonts w:ascii="Times New Roman" w:hAnsi="Times New Roman" w:eastAsia="Times New Roman"/>
                <w:sz w:val="20"/>
              </w:rPr>
              <w:t>LAB</w:t>
            </w:r>
          </w:p>
        </w:tc>
        <w:tc>
          <w:tcPr>
            <w:tcW w:type="dxa" w:w="4110"/>
            <w:vAlign w:val="center"/>
          </w:tcPr>
          <w:p>
            <w:pPr>
              <w:spacing w:line="240" w:lineRule="auto" w:after="40"/>
            </w:pPr>
            <w:r>
              <w:rPr>
                <w:rFonts w:ascii="Times New Roman" w:hAnsi="Times New Roman" w:eastAsia="Times New Roman"/>
                <w:sz w:val="20"/>
              </w:rPr>
              <w:t>CIE L*a*b* colour space</w:t>
            </w:r>
          </w:p>
        </w:tc>
      </w:tr>
      <w:tr>
        <w:tc>
          <w:tcPr>
            <w:tcW w:type="dxa" w:w="4110"/>
            <w:vAlign w:val="center"/>
          </w:tcPr>
          <w:p>
            <w:pPr>
              <w:spacing w:line="240" w:lineRule="auto" w:after="40"/>
            </w:pPr>
            <w:r>
              <w:rPr>
                <w:rFonts w:ascii="Times New Roman" w:hAnsi="Times New Roman" w:eastAsia="Times New Roman"/>
                <w:sz w:val="20"/>
              </w:rPr>
              <w:t>OOD</w:t>
            </w:r>
          </w:p>
        </w:tc>
        <w:tc>
          <w:tcPr>
            <w:tcW w:type="dxa" w:w="4110"/>
            <w:vAlign w:val="center"/>
          </w:tcPr>
          <w:p>
            <w:pPr>
              <w:spacing w:line="240" w:lineRule="auto" w:after="40"/>
            </w:pPr>
            <w:r>
              <w:rPr>
                <w:rFonts w:ascii="Times New Roman" w:hAnsi="Times New Roman" w:eastAsia="Times New Roman"/>
                <w:sz w:val="20"/>
              </w:rPr>
              <w:t>Out-of-Distribution</w:t>
            </w:r>
          </w:p>
        </w:tc>
      </w:tr>
      <w:tr>
        <w:tc>
          <w:tcPr>
            <w:tcW w:type="dxa" w:w="4110"/>
            <w:vAlign w:val="center"/>
          </w:tcPr>
          <w:p>
            <w:pPr>
              <w:spacing w:line="240" w:lineRule="auto" w:after="40"/>
            </w:pPr>
            <w:r>
              <w:rPr>
                <w:rFonts w:ascii="Times New Roman" w:hAnsi="Times New Roman" w:eastAsia="Times New Roman"/>
                <w:sz w:val="20"/>
              </w:rPr>
              <w:t>PCA</w:t>
            </w:r>
          </w:p>
        </w:tc>
        <w:tc>
          <w:tcPr>
            <w:tcW w:type="dxa" w:w="4110"/>
            <w:vAlign w:val="center"/>
          </w:tcPr>
          <w:p>
            <w:pPr>
              <w:spacing w:line="240" w:lineRule="auto" w:after="40"/>
            </w:pPr>
            <w:r>
              <w:rPr>
                <w:rFonts w:ascii="Times New Roman" w:hAnsi="Times New Roman" w:eastAsia="Times New Roman"/>
                <w:sz w:val="20"/>
              </w:rPr>
              <w:t>Principal Component Analysis</w:t>
            </w:r>
          </w:p>
        </w:tc>
      </w:tr>
      <w:tr>
        <w:tc>
          <w:tcPr>
            <w:tcW w:type="dxa" w:w="4110"/>
            <w:vAlign w:val="center"/>
          </w:tcPr>
          <w:p>
            <w:pPr>
              <w:spacing w:line="240" w:lineRule="auto" w:after="40"/>
            </w:pPr>
            <w:r>
              <w:rPr>
                <w:rFonts w:ascii="Times New Roman" w:hAnsi="Times New Roman" w:eastAsia="Times New Roman"/>
                <w:sz w:val="20"/>
              </w:rPr>
              <w:t>WCLWD</w:t>
            </w:r>
          </w:p>
        </w:tc>
        <w:tc>
          <w:tcPr>
            <w:tcW w:type="dxa" w:w="4110"/>
            <w:vAlign w:val="center"/>
          </w:tcPr>
          <w:p>
            <w:pPr>
              <w:spacing w:line="240" w:lineRule="auto" w:after="40"/>
            </w:pPr>
            <w:r>
              <w:rPr>
                <w:rFonts w:ascii="Times New Roman" w:hAnsi="Times New Roman" w:eastAsia="Times New Roman"/>
                <w:sz w:val="20"/>
              </w:rPr>
              <w:t>Weligama Coconut Leaf Wilt Disease</w:t>
            </w:r>
          </w:p>
        </w:tc>
      </w:tr>
      <w:tr>
        <w:tc>
          <w:tcPr>
            <w:tcW w:type="dxa" w:w="4110"/>
            <w:vAlign w:val="center"/>
          </w:tcPr>
          <w:p>
            <w:pPr>
              <w:spacing w:line="240" w:lineRule="auto" w:after="40"/>
            </w:pPr>
            <w:r>
              <w:rPr>
                <w:rFonts w:ascii="Times New Roman" w:hAnsi="Times New Roman" w:eastAsia="Times New Roman"/>
                <w:sz w:val="20"/>
              </w:rPr>
              <w:t>WSSS</w:t>
            </w:r>
          </w:p>
        </w:tc>
        <w:tc>
          <w:tcPr>
            <w:tcW w:type="dxa" w:w="4110"/>
            <w:vAlign w:val="center"/>
          </w:tcPr>
          <w:p>
            <w:pPr>
              <w:spacing w:line="240" w:lineRule="auto" w:after="40"/>
            </w:pPr>
            <w:r>
              <w:rPr>
                <w:rFonts w:ascii="Times New Roman" w:hAnsi="Times New Roman" w:eastAsia="Times New Roman"/>
                <w:sz w:val="20"/>
              </w:rPr>
              <w:t>Weakly Supervised Semantic Segmentation</w:t>
            </w:r>
          </w:p>
        </w:tc>
      </w:tr>
    </w:tbl>
    <w:p>
      <w:pPr>
        <w:widowControl/>
      </w:pPr>
    </w:p>
    <w:p>
      <w:pPr>
        <w:widowControl/>
      </w:pPr>
      <w:r>
        <w:br w:type="page"/>
      </w:r>
    </w:p>
    <w:p>
      <w:pPr>
        <w:pStyle w:val="Heading1"/>
        <w:widowControl/>
      </w:pPr>
      <w:r>
        <w:t>1 INTRODUCTION</w:t>
      </w:r>
    </w:p>
    <w:p>
      <w:pPr>
        <w:pStyle w:val="Heading2"/>
        <w:widowControl/>
      </w:pPr>
      <w:r>
        <w:t>1.1 Overall project context</w:t>
      </w:r>
    </w:p>
    <w:p>
      <w:pPr>
        <w:widowControl/>
      </w:pPr>
      <w:r>
        <w:rPr>
          <w:rFonts w:ascii="Times New Roman" w:hAnsi="Times New Roman" w:eastAsia="Times New Roman"/>
          <w:i w:val="0"/>
          <w:sz w:val="24"/>
        </w:rPr>
        <w:t>Coconut (Cocos nucifera L.) is an economically and socially important plantation crop in Sri Lanka. Its cultivation supports food production, household livelihoods, processing industries and agricultural employment. The management of coconut resources requires information about planting material, land utilisation, plant health and disease management. In many practical settings, these tasks depend on field observation, specialised judgement and information gathered from separate sources. The wider group project, titled “AI-Enabled Coconut Land Utilization, WCLWD Severity Assessment, Germplasm Identification and Community Intelligence Advisory System,” addresses this fragmented information environment through four independently developed AI-supported modules delivered through a shared web platform.</w:t>
      </w:r>
    </w:p>
    <w:p>
      <w:pPr>
        <w:widowControl/>
      </w:pPr>
      <w:r>
        <w:rPr>
          <w:rFonts w:ascii="Times New Roman" w:hAnsi="Times New Roman" w:eastAsia="Times New Roman"/>
          <w:i w:val="0"/>
          <w:sz w:val="24"/>
        </w:rPr>
        <w:t>The group research paper describes four distinct workflows: coconut germplasm identification, aerial land-utilisation analysis, WCLWD severity assessment, and disease identification with a bilingual advisory chatbot. These workflows use different datasets, model types and evaluation metrics. They are integrated at the application level rather than combined into a single machine-learning pipeline. Consequently, their scores should not be treated as directly comparable or combined into a single system accuracy.</w:t>
      </w:r>
    </w:p>
    <w:p>
      <w:pPr>
        <w:pStyle w:val="Heading2"/>
        <w:widowControl/>
      </w:pPr>
      <w:r>
        <w:t>1.2 Individual component context</w:t>
      </w:r>
    </w:p>
    <w:p>
      <w:pPr>
        <w:widowControl/>
      </w:pPr>
      <w:r>
        <w:rPr>
          <w:rFonts w:ascii="Times New Roman" w:hAnsi="Times New Roman" w:eastAsia="Times New Roman"/>
          <w:i w:val="0"/>
          <w:sz w:val="24"/>
        </w:rPr>
        <w:t>This thesis focuses on the WCLWD classification and computational severity-assessment component. WCLWD is associated with coconut leaf symptoms that can include yellowing, flaccidity and drying of leaflets. Such visible symptoms can be difficult to distinguish from other stresses using unaided visual inspection alone. The component is designed to analyse a submitted leaf image and return a predicted condition class, a confidence distribution, a Grad-CAM visualisation, a weakly supervised pseudo-mask and a computational DSI with a severity category.</w:t>
      </w:r>
    </w:p>
    <w:p>
      <w:pPr>
        <w:widowControl/>
      </w:pPr>
      <w:r>
        <w:rPr>
          <w:rFonts w:ascii="Times New Roman" w:hAnsi="Times New Roman" w:eastAsia="Times New Roman"/>
          <w:i w:val="0"/>
          <w:sz w:val="24"/>
        </w:rPr>
        <w:t>The final uploaded notebook configures EfficientNet-B0 as the classifier. Earlier proposal notes in the notebook refer to a Vision Transformer, but the final executable configuration and exported model identify EfficientNet-B0. This thesis documents the executable implementation and its outputs rather than stale proposal comments.</w:t>
      </w:r>
    </w:p>
    <w:p>
      <w:pPr>
        <w:widowControl/>
      </w:pPr>
      <w:r>
        <w:rPr>
          <w:rFonts w:ascii="Times New Roman" w:hAnsi="Times New Roman" w:eastAsia="Times New Roman"/>
          <w:i w:val="0"/>
          <w:sz w:val="24"/>
        </w:rPr>
        <w:t>The pipeline is organised into connected stages. The classifier predicts one of four labels: Healthy Leaves, WCLWD Drying of Leaflets, WCLWD Flaccidity or WCLWD Yellowing. Grad-CAM is then used to identify image regions that contribute to the selected class. The activation map is converted into a pseudo-mask using image-specific thresholding and GrabCut refinement. Finally, geometric, colour and spatial features are extracted from the mask and combined with affected-area percentage to calculate a DSI.</w:t>
      </w:r>
    </w:p>
    <w:p>
      <w:pPr>
        <w:pStyle w:val="Heading2"/>
        <w:widowControl/>
      </w:pPr>
      <w:r>
        <w:t>1.3 Problem statement</w:t>
      </w:r>
    </w:p>
    <w:p>
      <w:pPr>
        <w:widowControl/>
      </w:pPr>
      <w:r>
        <w:rPr>
          <w:rFonts w:ascii="Times New Roman" w:hAnsi="Times New Roman" w:eastAsia="Times New Roman"/>
          <w:i w:val="0"/>
          <w:sz w:val="24"/>
        </w:rPr>
        <w:t>The individual research problem is the lack of a reproducible image-based workflow that combines WCLWD symptom classification with interpretable visual evidence and a quantitative, computational severity estimate without requiring manually annotated lesion masks for every training image. Classification alone provides a class label but does not directly identify the image regions contributing to the prediction or estimate the extent and spatial characteristics of affected tissue. Conversely, severity scoring based only on manually measured features is labour-intensive and can vary between observers.</w:t>
      </w:r>
    </w:p>
    <w:p>
      <w:pPr>
        <w:widowControl/>
      </w:pPr>
      <w:r>
        <w:rPr>
          <w:rFonts w:ascii="Times New Roman" w:hAnsi="Times New Roman" w:eastAsia="Times New Roman"/>
          <w:i w:val="0"/>
          <w:sz w:val="24"/>
        </w:rPr>
        <w:t>The research therefore investigates whether transfer learning can provide reliable four-class classification on the selected dataset and whether class-activation maps can be refined into useful pseudo-masks from which an ABCD-inspired DSI can be calculated. The severity output is treated as an experimental decision-support measure, not as an established agronomic severity standard.</w:t>
      </w:r>
    </w:p>
    <w:p>
      <w:pPr>
        <w:pStyle w:val="Heading2"/>
        <w:widowControl/>
      </w:pPr>
      <w:r>
        <w:t>1.4 Research gap</w:t>
      </w:r>
    </w:p>
    <w:p>
      <w:pPr>
        <w:widowControl/>
      </w:pPr>
      <w:r>
        <w:rPr>
          <w:rFonts w:ascii="Times New Roman" w:hAnsi="Times New Roman" w:eastAsia="Times New Roman"/>
          <w:i w:val="0"/>
          <w:sz w:val="24"/>
        </w:rPr>
        <w:t>Prior work has investigated deep-learning-based diagnosis and severity assessment for WCLWD, and techniques such as EfficientNet, Grad-CAM, Otsu thresholding and GrabCut are established methods in computer vision. The gap addressed here is implementation-oriented: to assemble these methods into a reproducible pipeline that connects four-class classification, class-specific explanation, pseudo-segmentation and a weighted severity score. The current component also attempts to reduce evaluation leakage by grouping visually similar images before splitting the dataset.</w:t>
      </w:r>
    </w:p>
    <w:p>
      <w:pPr>
        <w:widowControl/>
      </w:pPr>
      <w:r>
        <w:rPr>
          <w:rFonts w:ascii="Times New Roman" w:hAnsi="Times New Roman" w:eastAsia="Times New Roman"/>
          <w:i w:val="0"/>
          <w:sz w:val="24"/>
        </w:rPr>
        <w:t>The gap must be stated carefully. The component does not establish a new general-purpose segmentation algorithm, and it does not prove that the DSI corresponds to expert-assessed biological severity. Its contribution is the design, implementation and preliminary evaluation of a connected workflow on a public dataset, with explicit recognition of the validation evidence still required.</w:t>
      </w:r>
    </w:p>
    <w:p>
      <w:pPr>
        <w:pStyle w:val="Heading2"/>
        <w:widowControl/>
      </w:pPr>
      <w:r>
        <w:t>1.5 Aim and objectives</w:t>
      </w:r>
    </w:p>
    <w:p>
      <w:pPr>
        <w:widowControl/>
      </w:pPr>
      <w:r>
        <w:rPr>
          <w:rFonts w:ascii="Times New Roman" w:hAnsi="Times New Roman" w:eastAsia="Times New Roman"/>
          <w:i w:val="0"/>
          <w:sz w:val="24"/>
        </w:rPr>
        <w:t>Aim: To develop and evaluate an image-based WCLWD assessment component that classifies coconut leaf conditions, visualises influential regions, generates weakly supervised pseudo-masks and calculates a computational severity index.</w:t>
      </w:r>
    </w:p>
    <w:p>
      <w:pPr>
        <w:widowControl/>
      </w:pPr>
      <w:r>
        <w:rPr>
          <w:rFonts w:ascii="Times New Roman" w:hAnsi="Times New Roman" w:eastAsia="Times New Roman"/>
          <w:i w:val="0"/>
          <w:sz w:val="24"/>
        </w:rPr>
        <w:t>The objectives are:</w:t>
      </w:r>
    </w:p>
    <w:p>
      <w:pPr>
        <w:pStyle w:val="ListNumber"/>
        <w:widowControl/>
        <w:spacing w:line="360" w:lineRule="auto"/>
      </w:pPr>
      <w:r>
        <w:rPr>
          <w:rFonts w:ascii="Times New Roman" w:hAnsi="Times New Roman" w:eastAsia="Times New Roman"/>
          <w:sz w:val="24"/>
        </w:rPr>
        <w:t>Prepare the selected dataset through image discovery, duplicate and near-duplicate grouping, split creation, class balancing and consistent preprocessing.</w:t>
      </w:r>
    </w:p>
    <w:p>
      <w:pPr>
        <w:pStyle w:val="ListNumber"/>
        <w:widowControl/>
        <w:spacing w:line="360" w:lineRule="auto"/>
      </w:pPr>
      <w:r>
        <w:rPr>
          <w:rFonts w:ascii="Times New Roman" w:hAnsi="Times New Roman" w:eastAsia="Times New Roman"/>
          <w:sz w:val="24"/>
        </w:rPr>
        <w:t>Fine-tune a pretrained EfficientNet-B0 model to classify healthy leaves and three WCLWD symptom classes.</w:t>
      </w:r>
    </w:p>
    <w:p>
      <w:pPr>
        <w:pStyle w:val="ListNumber"/>
        <w:widowControl/>
        <w:spacing w:line="360" w:lineRule="auto"/>
      </w:pPr>
      <w:r>
        <w:rPr>
          <w:rFonts w:ascii="Times New Roman" w:hAnsi="Times New Roman" w:eastAsia="Times New Roman"/>
          <w:sz w:val="24"/>
        </w:rPr>
        <w:t>Evaluate classification using held-out accuracy, precision, recall and F1-score, including class-level performance.</w:t>
      </w:r>
    </w:p>
    <w:p>
      <w:pPr>
        <w:pStyle w:val="ListNumber"/>
        <w:widowControl/>
        <w:spacing w:line="360" w:lineRule="auto"/>
      </w:pPr>
      <w:r>
        <w:rPr>
          <w:rFonts w:ascii="Times New Roman" w:hAnsi="Times New Roman" w:eastAsia="Times New Roman"/>
          <w:sz w:val="24"/>
        </w:rPr>
        <w:t>Generate class-specific Grad-CAM maps and refine them into pseudo-masks using Otsu thresholding, GrabCut and morphological operations.</w:t>
      </w:r>
    </w:p>
    <w:p>
      <w:pPr>
        <w:pStyle w:val="ListNumber"/>
        <w:widowControl/>
        <w:spacing w:line="360" w:lineRule="auto"/>
      </w:pPr>
      <w:r>
        <w:rPr>
          <w:rFonts w:ascii="Times New Roman" w:hAnsi="Times New Roman" w:eastAsia="Times New Roman"/>
          <w:sz w:val="24"/>
        </w:rPr>
        <w:t>Extract ABCD-inspired geometric, colour and spatial descriptors and combine them with affected-area percentage into a 0–100 DSI.</w:t>
      </w:r>
    </w:p>
    <w:p>
      <w:pPr>
        <w:pStyle w:val="ListNumber"/>
        <w:widowControl/>
        <w:spacing w:line="360" w:lineRule="auto"/>
      </w:pPr>
      <w:r>
        <w:rPr>
          <w:rFonts w:ascii="Times New Roman" w:hAnsi="Times New Roman" w:eastAsia="Times New Roman"/>
          <w:sz w:val="24"/>
        </w:rPr>
        <w:t>Export model weights and configuration artefacts for use in the wider web application.</w:t>
      </w:r>
    </w:p>
    <w:p>
      <w:pPr>
        <w:pStyle w:val="ListNumber"/>
        <w:widowControl/>
        <w:spacing w:line="360" w:lineRule="auto"/>
      </w:pPr>
      <w:r>
        <w:rPr>
          <w:rFonts w:ascii="Times New Roman" w:hAnsi="Times New Roman" w:eastAsia="Times New Roman"/>
          <w:sz w:val="24"/>
        </w:rPr>
        <w:t>Identify limitations and specify validation steps required before the severity output is used in real agricultural decision-making.</w:t>
      </w:r>
    </w:p>
    <w:p>
      <w:pPr>
        <w:pStyle w:val="Heading2"/>
        <w:widowControl/>
      </w:pPr>
      <w:r>
        <w:t>1.6 Research questions or hypotheses</w:t>
      </w:r>
    </w:p>
    <w:p>
      <w:pPr>
        <w:widowControl/>
      </w:pPr>
      <w:r>
        <w:rPr>
          <w:rFonts w:ascii="Times New Roman" w:hAnsi="Times New Roman" w:eastAsia="Times New Roman"/>
          <w:i w:val="0"/>
          <w:sz w:val="24"/>
        </w:rPr>
        <w:t>RQ1: How accurately can a pretrained EfficientNet-B0 classify the four target coconut leaf-condition classes on a group-separated held-out test set?</w:t>
      </w:r>
    </w:p>
    <w:p>
      <w:pPr>
        <w:widowControl/>
      </w:pPr>
      <w:r>
        <w:rPr>
          <w:rFonts w:ascii="Times New Roman" w:hAnsi="Times New Roman" w:eastAsia="Times New Roman"/>
          <w:i w:val="0"/>
          <w:sz w:val="24"/>
        </w:rPr>
        <w:t>RQ2: Can Grad-CAM activations be transformed into usable pseudo-masks without manually annotated pixel-level masks?</w:t>
      </w:r>
    </w:p>
    <w:p>
      <w:pPr>
        <w:widowControl/>
      </w:pPr>
      <w:r>
        <w:rPr>
          <w:rFonts w:ascii="Times New Roman" w:hAnsi="Times New Roman" w:eastAsia="Times New Roman"/>
          <w:i w:val="0"/>
          <w:sz w:val="24"/>
        </w:rPr>
        <w:t>RQ3: How can shape, colour, spatial distribution and affected-area features be combined into a reproducible computational DSI?</w:t>
      </w:r>
    </w:p>
    <w:p>
      <w:pPr>
        <w:widowControl/>
      </w:pPr>
      <w:r>
        <w:rPr>
          <w:rFonts w:ascii="Times New Roman" w:hAnsi="Times New Roman" w:eastAsia="Times New Roman"/>
          <w:i w:val="0"/>
          <w:sz w:val="24"/>
        </w:rPr>
        <w:t>RQ4: What methodological limitations prevent the pseudo-mask and DSI outputs from being interpreted as validated agronomic severity measurements?</w:t>
      </w:r>
    </w:p>
    <w:p>
      <w:pPr>
        <w:pStyle w:val="Heading2"/>
        <w:widowControl/>
      </w:pPr>
      <w:r>
        <w:t>1.7 Scope limitations and assumptions</w:t>
      </w:r>
    </w:p>
    <w:p>
      <w:pPr>
        <w:widowControl/>
      </w:pPr>
      <w:r>
        <w:rPr>
          <w:rFonts w:ascii="Times New Roman" w:hAnsi="Times New Roman" w:eastAsia="Times New Roman"/>
          <w:i w:val="0"/>
          <w:sz w:val="24"/>
        </w:rPr>
        <w:t>The scope is restricted to the four labels present in the final notebook and the selected public dataset. The classifier is not designed to diagnose every coconut disease, infer disease causation from an image, or replace field inspection. The DSI is a computational score derived from image features and configured weights. It is assumed that the dataset labels are usable for supervised classification, although label quality and external representativeness have not been independently established in this work.</w:t>
      </w:r>
    </w:p>
    <w:p>
      <w:pPr>
        <w:widowControl/>
      </w:pPr>
      <w:r>
        <w:rPr>
          <w:rFonts w:ascii="Times New Roman" w:hAnsi="Times New Roman" w:eastAsia="Times New Roman"/>
          <w:i w:val="0"/>
          <w:sz w:val="24"/>
        </w:rPr>
        <w:t>The principal limitations are the small healthy class, dependence on one public dataset, lack of an independent external test set, absence of ground-truth lesion masks and absence of expert severity ratings. The ABCD normalisation bounds are fitted from the observed test-set raw feature distribution in the current notebook; this is a methodological concern and means the DSI should not be described as an independently validated test outcome.</w:t>
      </w:r>
    </w:p>
    <w:p>
      <w:pPr>
        <w:pStyle w:val="Heading2"/>
        <w:widowControl/>
      </w:pPr>
      <w:r>
        <w:t>1.8 Individual contribution</w:t>
      </w:r>
    </w:p>
    <w:p>
      <w:pPr>
        <w:widowControl/>
      </w:pPr>
      <w:r>
        <w:rPr>
          <w:rFonts w:ascii="Times New Roman" w:hAnsi="Times New Roman" w:eastAsia="Times New Roman"/>
          <w:i w:val="0"/>
          <w:sz w:val="24"/>
        </w:rPr>
        <w:t>The individual contribution documented in this thesis is the WCLWD assessment component: dataset processing and leakage-aware splitting; EfficientNet-B0 training and evaluation; Grad-CAM visualisation; CAM-guided pseudo-mask generation; ABCD-inspired feature extraction; DSI computation and severity categorisation; and export of model and configuration files. The complete platform and the other three modules are described only to explain integration context. The exact division of work should be checked against the group's contribution records before final submission.</w:t>
      </w:r>
    </w:p>
    <w:p>
      <w:pPr>
        <w:pStyle w:val="Heading2"/>
        <w:widowControl/>
      </w:pPr>
      <w:r>
        <w:t>1.9 Thesis structure</w:t>
      </w:r>
    </w:p>
    <w:p>
      <w:pPr>
        <w:widowControl/>
      </w:pPr>
      <w:r>
        <w:rPr>
          <w:rFonts w:ascii="Times New Roman" w:hAnsi="Times New Roman" w:eastAsia="Times New Roman"/>
          <w:i w:val="0"/>
          <w:sz w:val="24"/>
        </w:rPr>
        <w:t>Chapter 1 introduces the project context, problem, gap, aim and scope. Chapter 2 reviews the technical foundations and related research. Chapter 3 explains the research design, dataset, experimental procedure and evaluation measures. Chapter 4 presents the component requirements and design. Chapter 5 documents implementation, integration and testing. Chapter 6 reports classification and computational severity results. Chapter 7 interprets findings and limitations. Chapter 8 discusses commercialisation and sustainability. Chapter 9 concludes the thesis and identifies future work.</w:t>
      </w:r>
    </w:p>
    <w:p>
      <w:pPr>
        <w:pStyle w:val="Heading1"/>
        <w:widowControl/>
      </w:pPr>
      <w:r>
        <w:t>2 LITERATURE REVIEW AND RELATED WORK</w:t>
      </w:r>
    </w:p>
    <w:p>
      <w:pPr>
        <w:pStyle w:val="Heading2"/>
        <w:widowControl/>
      </w:pPr>
      <w:r>
        <w:t>2.1 Review method and scope</w:t>
      </w:r>
    </w:p>
    <w:p>
      <w:pPr>
        <w:widowControl/>
      </w:pPr>
      <w:r>
        <w:rPr>
          <w:rFonts w:ascii="Times New Roman" w:hAnsi="Times New Roman" w:eastAsia="Times New Roman"/>
          <w:i w:val="0"/>
          <w:sz w:val="24"/>
        </w:rPr>
        <w:t>This chapter synthesises the references cited in the group research paper and the technical methods implemented in the notebook. It focuses on coconut leaf disease assessment, transfer learning, EfficientNet, visual explanation, weakly supervised segmentation, image morphology and severity scoring. It is a focused narrative review rather than a systematic review: no formal database search protocol, inclusion/exclusion criteria or exhaustive screening log was recorded in the supplied materials. A final submission should add any additional sources actually consulted and avoid claiming systematic-review status.</w:t>
      </w:r>
    </w:p>
    <w:p>
      <w:pPr>
        <w:pStyle w:val="Heading2"/>
        <w:widowControl/>
      </w:pPr>
      <w:r>
        <w:t>2.2 Domain and theoretical foundations</w:t>
      </w:r>
    </w:p>
    <w:p>
      <w:pPr>
        <w:pStyle w:val="Heading3"/>
        <w:widowControl/>
      </w:pPr>
      <w:r>
        <w:t>2.2.1 Weligama Coconut Leaf Wilt Disease</w:t>
      </w:r>
    </w:p>
    <w:p>
      <w:pPr>
        <w:widowControl/>
      </w:pPr>
      <w:r>
        <w:rPr>
          <w:rFonts w:ascii="Times New Roman" w:hAnsi="Times New Roman" w:eastAsia="Times New Roman"/>
          <w:i w:val="0"/>
          <w:sz w:val="24"/>
        </w:rPr>
        <w:t>WCLWD is a phytoplasma-associated disease reported in Sri Lanka. The group paper cites research on nested PCR-based detection of the disease and a study on deep-learning-based early diagnosis and severity assessment [1], [2]. The visible symptoms considered by this component are drying of leaflets, flaccidity and yellowing, together with a healthy-leaf class. These classes represent image labels; they should not be interpreted as a complete differential diagnosis of all possible causes of similar symptoms.</w:t>
      </w:r>
    </w:p>
    <w:p>
      <w:pPr>
        <w:pStyle w:val="Heading3"/>
        <w:widowControl/>
      </w:pPr>
      <w:r>
        <w:t>2.2.2 Transfer learning and EfficientNet-B0</w:t>
      </w:r>
    </w:p>
    <w:p>
      <w:pPr>
        <w:widowControl/>
      </w:pPr>
      <w:r>
        <w:rPr>
          <w:rFonts w:ascii="Times New Roman" w:hAnsi="Times New Roman" w:eastAsia="Times New Roman"/>
          <w:i w:val="0"/>
          <w:sz w:val="24"/>
        </w:rPr>
        <w:t>Transfer learning adapts a model trained on a large source dataset to a target task with fewer labelled examples. EfficientNet introduced a compound scaling strategy for balancing network depth, width and input resolution [3]. In this component, a pretrained EfficientNet-B0 model is adapted to output four class logits. The final network contains approximately 4,012,672 parameters, according to the notebook's model inspection. The implementation uses the timm model library and ImageNet-pretrained weights.</w:t>
      </w:r>
    </w:p>
    <w:p>
      <w:pPr>
        <w:pStyle w:val="Heading3"/>
        <w:widowControl/>
      </w:pPr>
      <w:r>
        <w:t>2.2.3 Image preprocessing</w:t>
      </w:r>
    </w:p>
    <w:p>
      <w:pPr>
        <w:widowControl/>
      </w:pPr>
      <w:r>
        <w:rPr>
          <w:rFonts w:ascii="Times New Roman" w:hAnsi="Times New Roman" w:eastAsia="Times New Roman"/>
          <w:i w:val="0"/>
          <w:sz w:val="24"/>
        </w:rPr>
        <w:t>Image preprocessing aims to provide consistent input dimensions and reduce some variation in image quality. The notebook converts images to RGB, applies coloured-noise reduction using OpenCV's fast non-local means method, enhances local contrast on the L channel in LAB colour space using CLAHE, resizes images to 224 × 224 and applies ImageNet channel normalisation. Preprocessing can improve consistency but cannot remove all differences due to lighting, camera type, leaf age, background or field conditions.</w:t>
      </w:r>
    </w:p>
    <w:p>
      <w:pPr>
        <w:pStyle w:val="Heading3"/>
        <w:widowControl/>
      </w:pPr>
      <w:r>
        <w:t>2.2.4 Grad-CAM and explainability</w:t>
      </w:r>
    </w:p>
    <w:p>
      <w:pPr>
        <w:widowControl/>
      </w:pPr>
      <w:r>
        <w:rPr>
          <w:rFonts w:ascii="Times New Roman" w:hAnsi="Times New Roman" w:eastAsia="Times New Roman"/>
          <w:i w:val="0"/>
          <w:sz w:val="24"/>
        </w:rPr>
        <w:t>Gradient-weighted Class Activation Mapping (Grad-CAM) uses gradients associated with a target class to weight feature maps and create a coarse spatial heatmap [4]. It is useful for inspecting which regions may influence a classifier prediction. However, a heatmap is not a pixel-accurate lesion segmentation and does not prove causal reasoning. Its interpretation should remain qualitative unless it is compared with expert-annotated regions or another appropriate reference.</w:t>
      </w:r>
    </w:p>
    <w:p>
      <w:pPr>
        <w:pStyle w:val="Heading3"/>
        <w:widowControl/>
      </w:pPr>
      <w:r>
        <w:t>2.2.5 Weakly supervised pseudo-segmentation</w:t>
      </w:r>
    </w:p>
    <w:p>
      <w:pPr>
        <w:widowControl/>
      </w:pPr>
      <w:r>
        <w:rPr>
          <w:rFonts w:ascii="Times New Roman" w:hAnsi="Times New Roman" w:eastAsia="Times New Roman"/>
          <w:i w:val="0"/>
          <w:sz w:val="24"/>
        </w:rPr>
        <w:t>Weakly supervised segmentation seeks spatial masks using weaker supervision than dense pixel-level annotations. In this implementation, a class-specific activation map is normalised and thresholded with Otsu's method [5]. The threshold and margins create foreground and background seeds for GrabCut [6]. Morphological opening and closing and connected-component filtering then remove some small fragments and smooth the mask. The output is a pseudo-mask generated by a heuristic pipeline, not a ground-truth segmentation.</w:t>
      </w:r>
    </w:p>
    <w:p>
      <w:pPr>
        <w:pStyle w:val="Heading3"/>
        <w:widowControl/>
      </w:pPr>
      <w:r>
        <w:t>2.2.6 ABCD-inspired descriptors and severity index</w:t>
      </w:r>
    </w:p>
    <w:p>
      <w:pPr>
        <w:widowControl/>
      </w:pPr>
      <w:r>
        <w:rPr>
          <w:rFonts w:ascii="Times New Roman" w:hAnsi="Times New Roman" w:eastAsia="Times New Roman"/>
          <w:i w:val="0"/>
          <w:sz w:val="24"/>
        </w:rPr>
        <w:t>The ABCD concept is adapted here as a set of image-derived descriptors rather than a validated plant pathology standard. The implementation measures asymmetry using the distribution of lesion pixels around a principal axis; border irregularity using contour solidity; colour variation using standard deviation in LAB colour space; distribution using spatial spread and quadrant coverage; and affected area relative to a heuristic leaf mask. These descriptors are calibrated to a 0–100 range and combined using fixed weights. Since there are no expert severity labels in the notebook, the resulting DSI and categories are computational outputs that require agronomic validation.</w:t>
      </w:r>
    </w:p>
    <w:p>
      <w:pPr>
        <w:pStyle w:val="Heading2"/>
        <w:widowControl/>
      </w:pPr>
      <w:r>
        <w:t>2.3 Related research</w:t>
      </w:r>
    </w:p>
    <w:p>
      <w:pPr>
        <w:widowControl/>
      </w:pPr>
      <w:r>
        <w:rPr>
          <w:rFonts w:ascii="Times New Roman" w:hAnsi="Times New Roman" w:eastAsia="Times New Roman"/>
          <w:i w:val="0"/>
          <w:sz w:val="24"/>
        </w:rPr>
        <w:t>De Silva et al. describe nested PCR-based rapid detection of phytoplasma leaf wilt disease of coconut in Sri Lanka [1]. This work provides disease-specific context and highlights that visual symptoms should not be equated automatically with laboratory confirmation. Vidhanaarachchi et al. report deep-learning-based image processing for early diagnosis and severity assessment of WCLWD and coconut caterpillar infestation [2]. The present component is related in its use of image-based learning and severity-oriented outputs, while its specific implementation combines EfficientNet-B0 classification with Grad-CAM-derived pseudo-masks and an ABCD-inspired weighted index.</w:t>
      </w:r>
    </w:p>
    <w:p>
      <w:pPr>
        <w:widowControl/>
      </w:pPr>
      <w:r>
        <w:rPr>
          <w:rFonts w:ascii="Times New Roman" w:hAnsi="Times New Roman" w:eastAsia="Times New Roman"/>
          <w:i w:val="0"/>
          <w:sz w:val="24"/>
        </w:rPr>
        <w:t>EfficientNet provides the classifier architecture [3], Grad-CAM provides class-activation visualisation [4], Otsu thresholding provides image-specific threshold selection [5], and GrabCut provides iterative foreground extraction [6]. These methods are complementary: classification predicts the category, Grad-CAM indicates discriminative regions, the pseudo-segmentation pipeline creates a binary mask, and the DSI summarises selected mask properties.</w:t>
      </w:r>
    </w:p>
    <w:p>
      <w:pPr>
        <w:pStyle w:val="Heading2"/>
        <w:widowControl/>
      </w:pPr>
      <w:r>
        <w:t>2.4 Existing systems products and techniques</w:t>
      </w:r>
    </w:p>
    <w:p>
      <w:pPr>
        <w:widowControl/>
      </w:pPr>
      <w:r>
        <w:rPr>
          <w:rFonts w:ascii="Times New Roman" w:hAnsi="Times New Roman" w:eastAsia="Times New Roman"/>
          <w:i w:val="0"/>
          <w:sz w:val="24"/>
        </w:rPr>
        <w:t>Existing agricultural image-classification approaches commonly provide a predicted class and confidence score. Some systems add visual explanations or segmentation, while severity estimation may rely on manually defined symptoms or labelled severity categories. The wider project paper integrates four separate AI-supported workflows in a shared web application. The WCLWD component contributes a leaf-image workflow rather than a complete crop-management platform. The key engineering distinction is that this component outputs both a classifier result and additional image-derived artifacts, but the reliability of those artifacts is not equivalent to the classifier's measured test accuracy.</w:t>
      </w:r>
    </w:p>
    <w:p>
      <w:pPr>
        <w:pStyle w:val="Heading2"/>
        <w:widowControl/>
      </w:pPr>
      <w:r>
        <w:t>2.5 Gap synthesis and conceptual framework</w:t>
      </w:r>
    </w:p>
    <w:p>
      <w:pPr>
        <w:widowControl/>
      </w:pPr>
      <w:r>
        <w:rPr>
          <w:rFonts w:ascii="Times New Roman" w:hAnsi="Times New Roman" w:eastAsia="Times New Roman"/>
          <w:i w:val="0"/>
          <w:sz w:val="24"/>
        </w:rPr>
        <w:t>The reviewed methods are established individually. The implementation gap addressed by this component is to connect them into a reproducible process suitable for a web-based decision-support tool while reducing the risk that near-duplicate images leak across data partitions. The conceptual framework is: input leaf image → preprocessing → EfficientNet-B0 classification → Grad-CAM → CAM thresholding and GrabCut → pseudo-mask cleanup → ABCD-inspired feature extraction → DSI and category. Each stage depends on the preceding output, so errors in classification or localisation can propagate to the severity score.</w:t>
      </w:r>
    </w:p>
    <w:p>
      <w:pPr>
        <w:widowControl/>
        <w:spacing w:line="240" w:lineRule="auto"/>
        <w:jc w:val="center"/>
      </w:pPr>
      <w:r>
        <w:rPr>
          <w:rFonts w:ascii="Times New Roman" w:hAnsi="Times New Roman" w:eastAsia="Times New Roman"/>
          <w:b/>
          <w:sz w:val="20"/>
        </w:rPr>
        <w:t>Figure 2.1. Conceptual workflow of the WCLWD assessment component (insert a final architecture diagram here).</w:t>
      </w:r>
    </w:p>
    <w:p>
      <w:pPr>
        <w:widowControl/>
      </w:pPr>
      <w:r>
        <w:rPr>
          <w:rFonts w:ascii="Times New Roman" w:hAnsi="Times New Roman" w:eastAsia="Times New Roman"/>
          <w:i w:val="0"/>
          <w:sz w:val="24"/>
        </w:rPr>
        <w:t>The framework has two distinct evidence levels. The classification branch is evaluated against held-out class labels using standard classification metrics. The segmentation and DSI branch is demonstrated computationally but has not been validated against manually annotated masks or expert severity ratings. These evidence levels are reported separately throughout this thesis.</w:t>
      </w:r>
    </w:p>
    <w:p>
      <w:pPr>
        <w:pStyle w:val="Heading1"/>
        <w:widowControl/>
      </w:pPr>
      <w:r>
        <w:t>3 RESEARCH METHODOLOGY</w:t>
      </w:r>
    </w:p>
    <w:p>
      <w:pPr>
        <w:pStyle w:val="Heading2"/>
        <w:widowControl/>
      </w:pPr>
      <w:r>
        <w:t>3.1 Research design</w:t>
      </w:r>
    </w:p>
    <w:p>
      <w:pPr>
        <w:widowControl/>
      </w:pPr>
      <w:r>
        <w:rPr>
          <w:rFonts w:ascii="Times New Roman" w:hAnsi="Times New Roman" w:eastAsia="Times New Roman"/>
          <w:i w:val="0"/>
          <w:sz w:val="24"/>
        </w:rPr>
        <w:t>The component follows an applied machine-learning and design-science orientation. It builds an artefact intended to address a practical problem, evaluates classification performance quantitatively, and examines the feasibility of additional interpretability and severity-estimation stages. The research process includes dataset inspection, preprocessing, leakage-aware partitioning, transfer-learning model training, held-out evaluation, pseudo-mask generation, descriptor extraction and model export.</w:t>
      </w:r>
    </w:p>
    <w:p>
      <w:pPr>
        <w:widowControl/>
      </w:pPr>
      <w:r>
        <w:rPr>
          <w:rFonts w:ascii="Times New Roman" w:hAnsi="Times New Roman" w:eastAsia="Times New Roman"/>
          <w:i w:val="0"/>
          <w:sz w:val="24"/>
        </w:rPr>
        <w:t>The notebook fixes random seeds for Python, NumPy and PyTorch, and sets OpenCV's random seed because GrabCut can depend on random initialisation. Deterministic cuDNN settings are used where configured. These measures improve reproducibility but do not guarantee bit-for-bit identical results across hardware, library versions or execution environments.</w:t>
      </w:r>
    </w:p>
    <w:p>
      <w:pPr>
        <w:pStyle w:val="Heading2"/>
        <w:widowControl/>
      </w:pPr>
      <w:r>
        <w:t>3.2 Data participants or study materials</w:t>
      </w:r>
    </w:p>
    <w:p>
      <w:pPr>
        <w:widowControl/>
      </w:pPr>
      <w:r>
        <w:rPr>
          <w:rFonts w:ascii="Times New Roman" w:hAnsi="Times New Roman" w:eastAsia="Times New Roman"/>
          <w:i w:val="0"/>
          <w:sz w:val="24"/>
        </w:rPr>
        <w:t>No human participants were involved in the described notebook experiments. The study material consists of images from the public Kaggle dataset “Coconut Diseases and Pest Infestations,” accessed in the notebook under the dataset path associated with the uploader Samitha96 [7]. The dataset description states that WCLWD leaf sampling was conducted with trained personnel from the Coconut Research Institute of Sri Lanka in April–May 2021, with collection in Matara in the southern low-country wet zone. The exact subset used in this implementation contains 3,354 images after path-level deduplication.</w:t>
      </w:r>
    </w:p>
    <w:p>
      <w:pPr>
        <w:widowControl/>
        <w:spacing w:line="240" w:lineRule="auto"/>
        <w:jc w:val="center"/>
      </w:pPr>
      <w:r>
        <w:rPr>
          <w:rFonts w:ascii="Times New Roman" w:hAnsi="Times New Roman" w:eastAsia="Times New Roman"/>
          <w:b/>
          <w:sz w:val="20"/>
        </w:rPr>
        <w:t>Table 3.1. Image distribution in the selected dataset</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Pr>
          <w:p>
            <w:r>
              <w:rPr>
                <w:rFonts w:ascii="Times New Roman" w:hAnsi="Times New Roman" w:eastAsia="Times New Roman"/>
                <w:b/>
                <w:sz w:val="20"/>
              </w:rPr>
              <w:t>Class</w:t>
            </w:r>
          </w:p>
        </w:tc>
        <w:tc>
          <w:tcPr>
            <w:tcW w:type="dxa" w:w="2740"/>
            <w:vAlign w:val="center"/>
          </w:tcPr>
          <w:p>
            <w:r>
              <w:rPr>
                <w:rFonts w:ascii="Times New Roman" w:hAnsi="Times New Roman" w:eastAsia="Times New Roman"/>
                <w:b/>
                <w:sz w:val="20"/>
              </w:rPr>
              <w:t>Images</w:t>
            </w:r>
          </w:p>
        </w:tc>
        <w:tc>
          <w:tcPr>
            <w:tcW w:type="dxa" w:w="2740"/>
            <w:vAlign w:val="center"/>
          </w:tcPr>
          <w:p>
            <w:r>
              <w:rPr>
                <w:rFonts w:ascii="Times New Roman" w:hAnsi="Times New Roman" w:eastAsia="Times New Roman"/>
                <w:b/>
                <w:sz w:val="20"/>
              </w:rPr>
              <w:t>Percentage (approx.)</w:t>
            </w:r>
          </w:p>
        </w:tc>
      </w:tr>
      <w:tr>
        <w:tc>
          <w:tcPr>
            <w:tcW w:type="dxa" w:w="2740"/>
            <w:vAlign w:val="center"/>
          </w:tcPr>
          <w:p>
            <w:pPr>
              <w:spacing w:line="240" w:lineRule="auto" w:after="40"/>
            </w:pPr>
            <w:r>
              <w:rPr>
                <w:rFonts w:ascii="Times New Roman" w:hAnsi="Times New Roman" w:eastAsia="Times New Roman"/>
                <w:sz w:val="20"/>
              </w:rPr>
              <w:t>Healthy Leaves</w:t>
            </w:r>
          </w:p>
        </w:tc>
        <w:tc>
          <w:tcPr>
            <w:tcW w:type="dxa" w:w="2740"/>
            <w:vAlign w:val="center"/>
          </w:tcPr>
          <w:p>
            <w:pPr>
              <w:spacing w:line="240" w:lineRule="auto" w:after="40"/>
            </w:pPr>
            <w:r>
              <w:rPr>
                <w:rFonts w:ascii="Times New Roman" w:hAnsi="Times New Roman" w:eastAsia="Times New Roman"/>
                <w:sz w:val="20"/>
              </w:rPr>
              <w:t>123</w:t>
            </w:r>
          </w:p>
        </w:tc>
        <w:tc>
          <w:tcPr>
            <w:tcW w:type="dxa" w:w="2740"/>
            <w:vAlign w:val="center"/>
          </w:tcPr>
          <w:p>
            <w:pPr>
              <w:spacing w:line="240" w:lineRule="auto" w:after="40"/>
            </w:pPr>
            <w:r>
              <w:rPr>
                <w:rFonts w:ascii="Times New Roman" w:hAnsi="Times New Roman" w:eastAsia="Times New Roman"/>
                <w:sz w:val="20"/>
              </w:rPr>
              <w:t>3.67%</w:t>
            </w:r>
          </w:p>
        </w:tc>
      </w:tr>
      <w:tr>
        <w:tc>
          <w:tcPr>
            <w:tcW w:type="dxa" w:w="2740"/>
            <w:vAlign w:val="center"/>
          </w:tcPr>
          <w:p>
            <w:pPr>
              <w:spacing w:line="240" w:lineRule="auto" w:after="40"/>
            </w:pPr>
            <w:r>
              <w:rPr>
                <w:rFonts w:ascii="Times New Roman" w:hAnsi="Times New Roman" w:eastAsia="Times New Roman"/>
                <w:sz w:val="20"/>
              </w:rPr>
              <w:t>WCLWD Drying of Leaflets</w:t>
            </w:r>
          </w:p>
        </w:tc>
        <w:tc>
          <w:tcPr>
            <w:tcW w:type="dxa" w:w="2740"/>
            <w:vAlign w:val="center"/>
          </w:tcPr>
          <w:p>
            <w:pPr>
              <w:spacing w:line="240" w:lineRule="auto" w:after="40"/>
            </w:pPr>
            <w:r>
              <w:rPr>
                <w:rFonts w:ascii="Times New Roman" w:hAnsi="Times New Roman" w:eastAsia="Times New Roman"/>
                <w:sz w:val="20"/>
              </w:rPr>
              <w:t>1078</w:t>
            </w:r>
          </w:p>
        </w:tc>
        <w:tc>
          <w:tcPr>
            <w:tcW w:type="dxa" w:w="2740"/>
            <w:vAlign w:val="center"/>
          </w:tcPr>
          <w:p>
            <w:pPr>
              <w:spacing w:line="240" w:lineRule="auto" w:after="40"/>
            </w:pPr>
            <w:r>
              <w:rPr>
                <w:rFonts w:ascii="Times New Roman" w:hAnsi="Times New Roman" w:eastAsia="Times New Roman"/>
                <w:sz w:val="20"/>
              </w:rPr>
              <w:t>32.14%</w:t>
            </w:r>
          </w:p>
        </w:tc>
      </w:tr>
      <w:tr>
        <w:tc>
          <w:tcPr>
            <w:tcW w:type="dxa" w:w="2740"/>
            <w:vAlign w:val="center"/>
          </w:tcPr>
          <w:p>
            <w:pPr>
              <w:spacing w:line="240" w:lineRule="auto" w:after="40"/>
            </w:pPr>
            <w:r>
              <w:rPr>
                <w:rFonts w:ascii="Times New Roman" w:hAnsi="Times New Roman" w:eastAsia="Times New Roman"/>
                <w:sz w:val="20"/>
              </w:rPr>
              <w:t>WCLWD Flaccidity</w:t>
            </w:r>
          </w:p>
        </w:tc>
        <w:tc>
          <w:tcPr>
            <w:tcW w:type="dxa" w:w="2740"/>
            <w:vAlign w:val="center"/>
          </w:tcPr>
          <w:p>
            <w:pPr>
              <w:spacing w:line="240" w:lineRule="auto" w:after="40"/>
            </w:pPr>
            <w:r>
              <w:rPr>
                <w:rFonts w:ascii="Times New Roman" w:hAnsi="Times New Roman" w:eastAsia="Times New Roman"/>
                <w:sz w:val="20"/>
              </w:rPr>
              <w:t>1069</w:t>
            </w:r>
          </w:p>
        </w:tc>
        <w:tc>
          <w:tcPr>
            <w:tcW w:type="dxa" w:w="2740"/>
            <w:vAlign w:val="center"/>
          </w:tcPr>
          <w:p>
            <w:pPr>
              <w:spacing w:line="240" w:lineRule="auto" w:after="40"/>
            </w:pPr>
            <w:r>
              <w:rPr>
                <w:rFonts w:ascii="Times New Roman" w:hAnsi="Times New Roman" w:eastAsia="Times New Roman"/>
                <w:sz w:val="20"/>
              </w:rPr>
              <w:t>31.88%</w:t>
            </w:r>
          </w:p>
        </w:tc>
      </w:tr>
      <w:tr>
        <w:tc>
          <w:tcPr>
            <w:tcW w:type="dxa" w:w="2740"/>
            <w:vAlign w:val="center"/>
          </w:tcPr>
          <w:p>
            <w:pPr>
              <w:spacing w:line="240" w:lineRule="auto" w:after="40"/>
            </w:pPr>
            <w:r>
              <w:rPr>
                <w:rFonts w:ascii="Times New Roman" w:hAnsi="Times New Roman" w:eastAsia="Times New Roman"/>
                <w:sz w:val="20"/>
              </w:rPr>
              <w:t>WCLWD Yellowing</w:t>
            </w:r>
          </w:p>
        </w:tc>
        <w:tc>
          <w:tcPr>
            <w:tcW w:type="dxa" w:w="2740"/>
            <w:vAlign w:val="center"/>
          </w:tcPr>
          <w:p>
            <w:pPr>
              <w:spacing w:line="240" w:lineRule="auto" w:after="40"/>
            </w:pPr>
            <w:r>
              <w:rPr>
                <w:rFonts w:ascii="Times New Roman" w:hAnsi="Times New Roman" w:eastAsia="Times New Roman"/>
                <w:sz w:val="20"/>
              </w:rPr>
              <w:t>1084</w:t>
            </w:r>
          </w:p>
        </w:tc>
        <w:tc>
          <w:tcPr>
            <w:tcW w:type="dxa" w:w="2740"/>
            <w:vAlign w:val="center"/>
          </w:tcPr>
          <w:p>
            <w:pPr>
              <w:spacing w:line="240" w:lineRule="auto" w:after="40"/>
            </w:pPr>
            <w:r>
              <w:rPr>
                <w:rFonts w:ascii="Times New Roman" w:hAnsi="Times New Roman" w:eastAsia="Times New Roman"/>
                <w:sz w:val="20"/>
              </w:rPr>
              <w:t>32.32%</w:t>
            </w:r>
          </w:p>
        </w:tc>
      </w:tr>
      <w:tr>
        <w:tc>
          <w:tcPr>
            <w:tcW w:type="dxa" w:w="2740"/>
            <w:vAlign w:val="center"/>
          </w:tcPr>
          <w:p>
            <w:pPr>
              <w:spacing w:line="240" w:lineRule="auto" w:after="40"/>
            </w:pPr>
            <w:r>
              <w:rPr>
                <w:rFonts w:ascii="Times New Roman" w:hAnsi="Times New Roman" w:eastAsia="Times New Roman"/>
                <w:sz w:val="20"/>
              </w:rPr>
              <w:t>Total</w:t>
            </w:r>
          </w:p>
        </w:tc>
        <w:tc>
          <w:tcPr>
            <w:tcW w:type="dxa" w:w="2740"/>
            <w:vAlign w:val="center"/>
          </w:tcPr>
          <w:p>
            <w:pPr>
              <w:spacing w:line="240" w:lineRule="auto" w:after="40"/>
            </w:pPr>
            <w:r>
              <w:rPr>
                <w:rFonts w:ascii="Times New Roman" w:hAnsi="Times New Roman" w:eastAsia="Times New Roman"/>
                <w:sz w:val="20"/>
              </w:rPr>
              <w:t>3354</w:t>
            </w:r>
          </w:p>
        </w:tc>
        <w:tc>
          <w:tcPr>
            <w:tcW w:type="dxa" w:w="2740"/>
            <w:vAlign w:val="center"/>
          </w:tcPr>
          <w:p>
            <w:pPr>
              <w:spacing w:line="240" w:lineRule="auto" w:after="40"/>
            </w:pPr>
            <w:r>
              <w:rPr>
                <w:rFonts w:ascii="Times New Roman" w:hAnsi="Times New Roman" w:eastAsia="Times New Roman"/>
                <w:sz w:val="20"/>
              </w:rPr>
              <w:t>100.00%</w:t>
            </w:r>
          </w:p>
        </w:tc>
      </w:tr>
    </w:tbl>
    <w:p>
      <w:pPr>
        <w:widowControl/>
      </w:pPr>
    </w:p>
    <w:p>
      <w:pPr>
        <w:widowControl/>
      </w:pPr>
      <w:r>
        <w:rPr>
          <w:rFonts w:ascii="Times New Roman" w:hAnsi="Times New Roman" w:eastAsia="Times New Roman"/>
          <w:i w:val="0"/>
          <w:sz w:val="24"/>
        </w:rPr>
        <w:t>The distribution is highly imbalanced because the healthy class contains substantially fewer images than each diseased class. The notebook also reports that 3,201 filenames (95.4%) contain “aug”, suggesting that many images in the dataset may be augmented variants. For this reason, visually similar-image grouping is especially relevant to evaluation.</w:t>
      </w:r>
    </w:p>
    <w:p>
      <w:pPr>
        <w:pStyle w:val="Heading2"/>
        <w:widowControl/>
      </w:pPr>
      <w:r>
        <w:t>3.3 Experimental or study procedure</w:t>
      </w:r>
    </w:p>
    <w:p>
      <w:pPr>
        <w:pStyle w:val="Heading3"/>
        <w:widowControl/>
      </w:pPr>
      <w:r>
        <w:t>3.3.1 Image discovery and near-duplicate grouping</w:t>
      </w:r>
    </w:p>
    <w:p>
      <w:pPr>
        <w:widowControl/>
      </w:pPr>
      <w:r>
        <w:rPr>
          <w:rFonts w:ascii="Times New Roman" w:hAnsi="Times New Roman" w:eastAsia="Times New Roman"/>
          <w:i w:val="0"/>
          <w:sz w:val="24"/>
        </w:rPr>
        <w:t>The notebook searches the dataset folders for the four configured class names and collects supported image formats. Absolute paths are deduplicated to prevent nested folders from causing repeated file records. Perceptual hashes are then calculated for every image. Pairwise Hamming distances are calculated between the 64-bit perceptual hashes, and images with a distance of six bits or fewer are joined into the same group using a union-find structure. GroupShuffleSplit is used to create train, validation and test partitions so that images assigned to one near-duplicate group cannot be distributed across separate partitions.</w:t>
      </w:r>
    </w:p>
    <w:p>
      <w:pPr>
        <w:widowControl/>
      </w:pPr>
      <w:r>
        <w:rPr>
          <w:rFonts w:ascii="Times New Roman" w:hAnsi="Times New Roman" w:eastAsia="Times New Roman"/>
          <w:i w:val="0"/>
          <w:sz w:val="24"/>
        </w:rPr>
        <w:t>The final grouping output reports 3,354 images and 3,238 groups; 94 groups contain more than one image, and the largest group contains six images. The split contains 2,351 training images, 506 validation images and 497 test images. The notebook reports that no detected near-duplicate group spans more than one split. This reduces, but cannot eliminate, all possible forms of data leakage.</w:t>
      </w:r>
    </w:p>
    <w:p>
      <w:pPr>
        <w:widowControl/>
        <w:spacing w:line="240" w:lineRule="auto"/>
        <w:jc w:val="center"/>
      </w:pPr>
      <w:r>
        <w:rPr>
          <w:rFonts w:ascii="Times New Roman" w:hAnsi="Times New Roman" w:eastAsia="Times New Roman"/>
          <w:b/>
          <w:sz w:val="20"/>
        </w:rPr>
        <w:t>Table 3.2. Dataset partition sizes</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Pr>
          <w:p>
            <w:r>
              <w:rPr>
                <w:rFonts w:ascii="Times New Roman" w:hAnsi="Times New Roman" w:eastAsia="Times New Roman"/>
                <w:b/>
                <w:sz w:val="20"/>
              </w:rPr>
              <w:t>Partition</w:t>
            </w:r>
          </w:p>
        </w:tc>
        <w:tc>
          <w:tcPr>
            <w:tcW w:type="dxa" w:w="2740"/>
            <w:vAlign w:val="center"/>
          </w:tcPr>
          <w:p>
            <w:r>
              <w:rPr>
                <w:rFonts w:ascii="Times New Roman" w:hAnsi="Times New Roman" w:eastAsia="Times New Roman"/>
                <w:b/>
                <w:sz w:val="20"/>
              </w:rPr>
              <w:t>Images</w:t>
            </w:r>
          </w:p>
        </w:tc>
        <w:tc>
          <w:tcPr>
            <w:tcW w:type="dxa" w:w="2740"/>
            <w:vAlign w:val="center"/>
          </w:tcPr>
          <w:p>
            <w:r>
              <w:rPr>
                <w:rFonts w:ascii="Times New Roman" w:hAnsi="Times New Roman" w:eastAsia="Times New Roman"/>
                <w:b/>
                <w:sz w:val="20"/>
              </w:rPr>
              <w:t>Approximate proportion</w:t>
            </w:r>
          </w:p>
        </w:tc>
      </w:tr>
      <w:tr>
        <w:tc>
          <w:tcPr>
            <w:tcW w:type="dxa" w:w="2740"/>
            <w:vAlign w:val="center"/>
          </w:tcPr>
          <w:p>
            <w:pPr>
              <w:spacing w:line="240" w:lineRule="auto" w:after="40"/>
            </w:pPr>
            <w:r>
              <w:rPr>
                <w:rFonts w:ascii="Times New Roman" w:hAnsi="Times New Roman" w:eastAsia="Times New Roman"/>
                <w:sz w:val="20"/>
              </w:rPr>
              <w:t>Training</w:t>
            </w:r>
          </w:p>
        </w:tc>
        <w:tc>
          <w:tcPr>
            <w:tcW w:type="dxa" w:w="2740"/>
            <w:vAlign w:val="center"/>
          </w:tcPr>
          <w:p>
            <w:pPr>
              <w:spacing w:line="240" w:lineRule="auto" w:after="40"/>
            </w:pPr>
            <w:r>
              <w:rPr>
                <w:rFonts w:ascii="Times New Roman" w:hAnsi="Times New Roman" w:eastAsia="Times New Roman"/>
                <w:sz w:val="20"/>
              </w:rPr>
              <w:t>2351</w:t>
            </w:r>
          </w:p>
        </w:tc>
        <w:tc>
          <w:tcPr>
            <w:tcW w:type="dxa" w:w="2740"/>
            <w:vAlign w:val="center"/>
          </w:tcPr>
          <w:p>
            <w:pPr>
              <w:spacing w:line="240" w:lineRule="auto" w:after="40"/>
            </w:pPr>
            <w:r>
              <w:rPr>
                <w:rFonts w:ascii="Times New Roman" w:hAnsi="Times New Roman" w:eastAsia="Times New Roman"/>
                <w:sz w:val="20"/>
              </w:rPr>
              <w:t>70.1%</w:t>
            </w:r>
          </w:p>
        </w:tc>
      </w:tr>
      <w:tr>
        <w:tc>
          <w:tcPr>
            <w:tcW w:type="dxa" w:w="2740"/>
            <w:vAlign w:val="center"/>
          </w:tcPr>
          <w:p>
            <w:pPr>
              <w:spacing w:line="240" w:lineRule="auto" w:after="40"/>
            </w:pPr>
            <w:r>
              <w:rPr>
                <w:rFonts w:ascii="Times New Roman" w:hAnsi="Times New Roman" w:eastAsia="Times New Roman"/>
                <w:sz w:val="20"/>
              </w:rPr>
              <w:t>Validation</w:t>
            </w:r>
          </w:p>
        </w:tc>
        <w:tc>
          <w:tcPr>
            <w:tcW w:type="dxa" w:w="2740"/>
            <w:vAlign w:val="center"/>
          </w:tcPr>
          <w:p>
            <w:pPr>
              <w:spacing w:line="240" w:lineRule="auto" w:after="40"/>
            </w:pPr>
            <w:r>
              <w:rPr>
                <w:rFonts w:ascii="Times New Roman" w:hAnsi="Times New Roman" w:eastAsia="Times New Roman"/>
                <w:sz w:val="20"/>
              </w:rPr>
              <w:t>506</w:t>
            </w:r>
          </w:p>
        </w:tc>
        <w:tc>
          <w:tcPr>
            <w:tcW w:type="dxa" w:w="2740"/>
            <w:vAlign w:val="center"/>
          </w:tcPr>
          <w:p>
            <w:pPr>
              <w:spacing w:line="240" w:lineRule="auto" w:after="40"/>
            </w:pPr>
            <w:r>
              <w:rPr>
                <w:rFonts w:ascii="Times New Roman" w:hAnsi="Times New Roman" w:eastAsia="Times New Roman"/>
                <w:sz w:val="20"/>
              </w:rPr>
              <w:t>15.1%</w:t>
            </w:r>
          </w:p>
        </w:tc>
      </w:tr>
      <w:tr>
        <w:tc>
          <w:tcPr>
            <w:tcW w:type="dxa" w:w="2740"/>
            <w:vAlign w:val="center"/>
          </w:tcPr>
          <w:p>
            <w:pPr>
              <w:spacing w:line="240" w:lineRule="auto" w:after="40"/>
            </w:pPr>
            <w:r>
              <w:rPr>
                <w:rFonts w:ascii="Times New Roman" w:hAnsi="Times New Roman" w:eastAsia="Times New Roman"/>
                <w:sz w:val="20"/>
              </w:rPr>
              <w:t>Test</w:t>
            </w:r>
          </w:p>
        </w:tc>
        <w:tc>
          <w:tcPr>
            <w:tcW w:type="dxa" w:w="2740"/>
            <w:vAlign w:val="center"/>
          </w:tcPr>
          <w:p>
            <w:pPr>
              <w:spacing w:line="240" w:lineRule="auto" w:after="40"/>
            </w:pPr>
            <w:r>
              <w:rPr>
                <w:rFonts w:ascii="Times New Roman" w:hAnsi="Times New Roman" w:eastAsia="Times New Roman"/>
                <w:sz w:val="20"/>
              </w:rPr>
              <w:t>497</w:t>
            </w:r>
          </w:p>
        </w:tc>
        <w:tc>
          <w:tcPr>
            <w:tcW w:type="dxa" w:w="2740"/>
            <w:vAlign w:val="center"/>
          </w:tcPr>
          <w:p>
            <w:pPr>
              <w:spacing w:line="240" w:lineRule="auto" w:after="40"/>
            </w:pPr>
            <w:r>
              <w:rPr>
                <w:rFonts w:ascii="Times New Roman" w:hAnsi="Times New Roman" w:eastAsia="Times New Roman"/>
                <w:sz w:val="20"/>
              </w:rPr>
              <w:t>14.8%</w:t>
            </w:r>
          </w:p>
        </w:tc>
      </w:tr>
      <w:tr>
        <w:tc>
          <w:tcPr>
            <w:tcW w:type="dxa" w:w="2740"/>
            <w:vAlign w:val="center"/>
          </w:tcPr>
          <w:p>
            <w:pPr>
              <w:spacing w:line="240" w:lineRule="auto" w:after="40"/>
            </w:pPr>
            <w:r>
              <w:rPr>
                <w:rFonts w:ascii="Times New Roman" w:hAnsi="Times New Roman" w:eastAsia="Times New Roman"/>
                <w:sz w:val="20"/>
              </w:rPr>
              <w:t>Total</w:t>
            </w:r>
          </w:p>
        </w:tc>
        <w:tc>
          <w:tcPr>
            <w:tcW w:type="dxa" w:w="2740"/>
            <w:vAlign w:val="center"/>
          </w:tcPr>
          <w:p>
            <w:pPr>
              <w:spacing w:line="240" w:lineRule="auto" w:after="40"/>
            </w:pPr>
            <w:r>
              <w:rPr>
                <w:rFonts w:ascii="Times New Roman" w:hAnsi="Times New Roman" w:eastAsia="Times New Roman"/>
                <w:sz w:val="20"/>
              </w:rPr>
              <w:t>3354</w:t>
            </w:r>
          </w:p>
        </w:tc>
        <w:tc>
          <w:tcPr>
            <w:tcW w:type="dxa" w:w="2740"/>
            <w:vAlign w:val="center"/>
          </w:tcPr>
          <w:p>
            <w:pPr>
              <w:spacing w:line="240" w:lineRule="auto" w:after="40"/>
            </w:pPr>
            <w:r>
              <w:rPr>
                <w:rFonts w:ascii="Times New Roman" w:hAnsi="Times New Roman" w:eastAsia="Times New Roman"/>
                <w:sz w:val="20"/>
              </w:rPr>
              <w:t>100.0%</w:t>
            </w:r>
          </w:p>
        </w:tc>
      </w:tr>
    </w:tbl>
    <w:p>
      <w:pPr>
        <w:widowControl/>
      </w:pPr>
    </w:p>
    <w:p>
      <w:pPr>
        <w:pStyle w:val="Heading3"/>
        <w:widowControl/>
      </w:pPr>
      <w:r>
        <w:t>3.3.2 Training-set balancing</w:t>
      </w:r>
    </w:p>
    <w:p>
      <w:pPr>
        <w:widowControl/>
      </w:pPr>
      <w:r>
        <w:rPr>
          <w:rFonts w:ascii="Times New Roman" w:hAnsi="Times New Roman" w:eastAsia="Times New Roman"/>
          <w:i w:val="0"/>
          <w:sz w:val="24"/>
        </w:rPr>
        <w:t>Only the training partition is oversampled. The healthy class increases from 84 training images to a target of 700 by repeated sampling, while the validation and test partitions remain unchanged. After oversampling, the training counts are 742 drying-of-leaflets images, 772 flaccidity images, 753 yellowing images and 700 healthy images. This approach improves the minority class's representation during optimisation without artificially changing the held-out evaluation distribution.</w:t>
      </w:r>
    </w:p>
    <w:p>
      <w:pPr>
        <w:pStyle w:val="Heading3"/>
        <w:widowControl/>
      </w:pPr>
      <w:r>
        <w:t>3.3.3 Image preprocessing</w:t>
      </w:r>
    </w:p>
    <w:p>
      <w:pPr>
        <w:widowControl/>
      </w:pPr>
      <w:r>
        <w:rPr>
          <w:rFonts w:ascii="Times New Roman" w:hAnsi="Times New Roman" w:eastAsia="Times New Roman"/>
          <w:i w:val="0"/>
          <w:sz w:val="24"/>
        </w:rPr>
        <w:t>Each image is read in BGR format by OpenCV and converted to RGB. Coloured noise is reduced using fastNlMeansDenoisingColored with parameters recorded in the notebook. The image is converted to LAB colour space, CLAHE is applied to the L channel with a clip limit of 2.0 and an 8 × 8 tile grid, and the image is converted back to RGB. It is resized to 224 × 224 using area interpolation and normalised using ImageNet means [0.485, 0.456, 0.406] and standard deviations [0.229, 0.224, 0.225]. Preprocessed images are cached by file path and image size.</w:t>
      </w:r>
    </w:p>
    <w:p>
      <w:pPr>
        <w:widowControl/>
      </w:pPr>
      <w:r>
        <w:rPr>
          <w:rFonts w:ascii="Times New Roman" w:hAnsi="Times New Roman" w:eastAsia="Times New Roman"/>
          <w:i w:val="0"/>
          <w:sz w:val="24"/>
        </w:rPr>
        <w:t>Runtime flips, rotations and brightness changes were not added in the final pipeline because the dataset already contains a large proportion of augmented-looking files. This is an implementation choice intended to avoid compounding transformations, although it does not resolve possible dependence between related source images unless the grouping successfully detects them.</w:t>
      </w:r>
    </w:p>
    <w:p>
      <w:pPr>
        <w:pStyle w:val="Heading3"/>
        <w:widowControl/>
      </w:pPr>
      <w:r>
        <w:t>3.3.4 Model training</w:t>
      </w:r>
    </w:p>
    <w:p>
      <w:pPr>
        <w:widowControl/>
      </w:pPr>
      <w:r>
        <w:rPr>
          <w:rFonts w:ascii="Times New Roman" w:hAnsi="Times New Roman" w:eastAsia="Times New Roman"/>
          <w:i w:val="0"/>
          <w:sz w:val="24"/>
        </w:rPr>
        <w:t>The final model is EfficientNet-B0 initialised with pretrained weights and modified for four output classes. The training configuration uses 20 epochs, batch size 32, learning rate 3 × 10⁻⁵, weight decay 1 × 10⁻⁴ and four data-loader workers. Cross-entropy loss is used with AdamW optimisation and a cosine annealing learning-rate schedule. Mixed precision is used on CUDA where available. The checkpoint with the highest validation accuracy is retained for final testing.</w:t>
      </w:r>
    </w:p>
    <w:p>
      <w:pPr>
        <w:widowControl/>
        <w:spacing w:line="240" w:lineRule="auto"/>
        <w:jc w:val="center"/>
      </w:pPr>
      <w:r>
        <w:rPr>
          <w:rFonts w:ascii="Times New Roman" w:hAnsi="Times New Roman" w:eastAsia="Times New Roman"/>
          <w:b/>
          <w:sz w:val="20"/>
        </w:rPr>
        <w:t>Table 3.3. Main training configuration</w:t>
      </w:r>
    </w:p>
    <w:tbl>
      <w:tblPr>
        <w:tblStyle w:val="TableGrid"/>
        <w:tblW w:type="auto" w:w="0"/>
        <w:jc w:val="center"/>
        <w:tblLook w:firstColumn="1" w:firstRow="1" w:lastColumn="0" w:lastRow="0" w:noHBand="0" w:noVBand="1" w:val="04A0"/>
      </w:tblPr>
      <w:tblGrid>
        <w:gridCol w:w="4110"/>
        <w:gridCol w:w="4110"/>
      </w:tblGrid>
      <w:tr>
        <w:tc>
          <w:tcPr>
            <w:tcW w:type="dxa" w:w="4110"/>
            <w:vAlign w:val="center"/>
          </w:tcPr>
          <w:p>
            <w:r>
              <w:rPr>
                <w:rFonts w:ascii="Times New Roman" w:hAnsi="Times New Roman" w:eastAsia="Times New Roman"/>
                <w:b/>
                <w:sz w:val="20"/>
              </w:rPr>
              <w:t>Parameter</w:t>
            </w:r>
          </w:p>
        </w:tc>
        <w:tc>
          <w:tcPr>
            <w:tcW w:type="dxa" w:w="4110"/>
            <w:vAlign w:val="center"/>
          </w:tcPr>
          <w:p>
            <w:r>
              <w:rPr>
                <w:rFonts w:ascii="Times New Roman" w:hAnsi="Times New Roman" w:eastAsia="Times New Roman"/>
                <w:b/>
                <w:sz w:val="20"/>
              </w:rPr>
              <w:t>Configured value</w:t>
            </w:r>
          </w:p>
        </w:tc>
      </w:tr>
      <w:tr>
        <w:tc>
          <w:tcPr>
            <w:tcW w:type="dxa" w:w="4110"/>
            <w:vAlign w:val="center"/>
          </w:tcPr>
          <w:p>
            <w:pPr>
              <w:spacing w:line="240" w:lineRule="auto" w:after="40"/>
            </w:pPr>
            <w:r>
              <w:rPr>
                <w:rFonts w:ascii="Times New Roman" w:hAnsi="Times New Roman" w:eastAsia="Times New Roman"/>
                <w:sz w:val="20"/>
              </w:rPr>
              <w:t>Architecture</w:t>
            </w:r>
          </w:p>
        </w:tc>
        <w:tc>
          <w:tcPr>
            <w:tcW w:type="dxa" w:w="4110"/>
            <w:vAlign w:val="center"/>
          </w:tcPr>
          <w:p>
            <w:pPr>
              <w:spacing w:line="240" w:lineRule="auto" w:after="40"/>
            </w:pPr>
            <w:r>
              <w:rPr>
                <w:rFonts w:ascii="Times New Roman" w:hAnsi="Times New Roman" w:eastAsia="Times New Roman"/>
                <w:sz w:val="20"/>
              </w:rPr>
              <w:t>EfficientNet-B0, pretrained</w:t>
            </w:r>
          </w:p>
        </w:tc>
      </w:tr>
      <w:tr>
        <w:tc>
          <w:tcPr>
            <w:tcW w:type="dxa" w:w="4110"/>
            <w:vAlign w:val="center"/>
          </w:tcPr>
          <w:p>
            <w:pPr>
              <w:spacing w:line="240" w:lineRule="auto" w:after="40"/>
            </w:pPr>
            <w:r>
              <w:rPr>
                <w:rFonts w:ascii="Times New Roman" w:hAnsi="Times New Roman" w:eastAsia="Times New Roman"/>
                <w:sz w:val="20"/>
              </w:rPr>
              <w:t>Input dimensions</w:t>
            </w:r>
          </w:p>
        </w:tc>
        <w:tc>
          <w:tcPr>
            <w:tcW w:type="dxa" w:w="4110"/>
            <w:vAlign w:val="center"/>
          </w:tcPr>
          <w:p>
            <w:pPr>
              <w:spacing w:line="240" w:lineRule="auto" w:after="40"/>
            </w:pPr>
            <w:r>
              <w:rPr>
                <w:rFonts w:ascii="Times New Roman" w:hAnsi="Times New Roman" w:eastAsia="Times New Roman"/>
                <w:sz w:val="20"/>
              </w:rPr>
              <w:t>224 × 224 × 3</w:t>
            </w:r>
          </w:p>
        </w:tc>
      </w:tr>
      <w:tr>
        <w:tc>
          <w:tcPr>
            <w:tcW w:type="dxa" w:w="4110"/>
            <w:vAlign w:val="center"/>
          </w:tcPr>
          <w:p>
            <w:pPr>
              <w:spacing w:line="240" w:lineRule="auto" w:after="40"/>
            </w:pPr>
            <w:r>
              <w:rPr>
                <w:rFonts w:ascii="Times New Roman" w:hAnsi="Times New Roman" w:eastAsia="Times New Roman"/>
                <w:sz w:val="20"/>
              </w:rPr>
              <w:t>Output classes</w:t>
            </w:r>
          </w:p>
        </w:tc>
        <w:tc>
          <w:tcPr>
            <w:tcW w:type="dxa" w:w="4110"/>
            <w:vAlign w:val="center"/>
          </w:tcPr>
          <w:p>
            <w:pPr>
              <w:spacing w:line="240" w:lineRule="auto" w:after="40"/>
            </w:pPr>
            <w:r>
              <w:rPr>
                <w:rFonts w:ascii="Times New Roman" w:hAnsi="Times New Roman" w:eastAsia="Times New Roman"/>
                <w:sz w:val="20"/>
              </w:rPr>
              <w:t>4</w:t>
            </w:r>
          </w:p>
        </w:tc>
      </w:tr>
      <w:tr>
        <w:tc>
          <w:tcPr>
            <w:tcW w:type="dxa" w:w="4110"/>
            <w:vAlign w:val="center"/>
          </w:tcPr>
          <w:p>
            <w:pPr>
              <w:spacing w:line="240" w:lineRule="auto" w:after="40"/>
            </w:pPr>
            <w:r>
              <w:rPr>
                <w:rFonts w:ascii="Times New Roman" w:hAnsi="Times New Roman" w:eastAsia="Times New Roman"/>
                <w:sz w:val="20"/>
              </w:rPr>
              <w:t>Epochs</w:t>
            </w:r>
          </w:p>
        </w:tc>
        <w:tc>
          <w:tcPr>
            <w:tcW w:type="dxa" w:w="4110"/>
            <w:vAlign w:val="center"/>
          </w:tcPr>
          <w:p>
            <w:pPr>
              <w:spacing w:line="240" w:lineRule="auto" w:after="40"/>
            </w:pPr>
            <w:r>
              <w:rPr>
                <w:rFonts w:ascii="Times New Roman" w:hAnsi="Times New Roman" w:eastAsia="Times New Roman"/>
                <w:sz w:val="20"/>
              </w:rPr>
              <w:t>20</w:t>
            </w:r>
          </w:p>
        </w:tc>
      </w:tr>
      <w:tr>
        <w:tc>
          <w:tcPr>
            <w:tcW w:type="dxa" w:w="4110"/>
            <w:vAlign w:val="center"/>
          </w:tcPr>
          <w:p>
            <w:pPr>
              <w:spacing w:line="240" w:lineRule="auto" w:after="40"/>
            </w:pPr>
            <w:r>
              <w:rPr>
                <w:rFonts w:ascii="Times New Roman" w:hAnsi="Times New Roman" w:eastAsia="Times New Roman"/>
                <w:sz w:val="20"/>
              </w:rPr>
              <w:t>Batch size</w:t>
            </w:r>
          </w:p>
        </w:tc>
        <w:tc>
          <w:tcPr>
            <w:tcW w:type="dxa" w:w="4110"/>
            <w:vAlign w:val="center"/>
          </w:tcPr>
          <w:p>
            <w:pPr>
              <w:spacing w:line="240" w:lineRule="auto" w:after="40"/>
            </w:pPr>
            <w:r>
              <w:rPr>
                <w:rFonts w:ascii="Times New Roman" w:hAnsi="Times New Roman" w:eastAsia="Times New Roman"/>
                <w:sz w:val="20"/>
              </w:rPr>
              <w:t>32</w:t>
            </w:r>
          </w:p>
        </w:tc>
      </w:tr>
      <w:tr>
        <w:tc>
          <w:tcPr>
            <w:tcW w:type="dxa" w:w="4110"/>
            <w:vAlign w:val="center"/>
          </w:tcPr>
          <w:p>
            <w:pPr>
              <w:spacing w:line="240" w:lineRule="auto" w:after="40"/>
            </w:pPr>
            <w:r>
              <w:rPr>
                <w:rFonts w:ascii="Times New Roman" w:hAnsi="Times New Roman" w:eastAsia="Times New Roman"/>
                <w:sz w:val="20"/>
              </w:rPr>
              <w:t>Learning rate</w:t>
            </w:r>
          </w:p>
        </w:tc>
        <w:tc>
          <w:tcPr>
            <w:tcW w:type="dxa" w:w="4110"/>
            <w:vAlign w:val="center"/>
          </w:tcPr>
          <w:p>
            <w:pPr>
              <w:spacing w:line="240" w:lineRule="auto" w:after="40"/>
            </w:pPr>
            <w:r>
              <w:rPr>
                <w:rFonts w:ascii="Times New Roman" w:hAnsi="Times New Roman" w:eastAsia="Times New Roman"/>
                <w:sz w:val="20"/>
              </w:rPr>
              <w:t>0.00003</w:t>
            </w:r>
          </w:p>
        </w:tc>
      </w:tr>
      <w:tr>
        <w:tc>
          <w:tcPr>
            <w:tcW w:type="dxa" w:w="4110"/>
            <w:vAlign w:val="center"/>
          </w:tcPr>
          <w:p>
            <w:pPr>
              <w:spacing w:line="240" w:lineRule="auto" w:after="40"/>
            </w:pPr>
            <w:r>
              <w:rPr>
                <w:rFonts w:ascii="Times New Roman" w:hAnsi="Times New Roman" w:eastAsia="Times New Roman"/>
                <w:sz w:val="20"/>
              </w:rPr>
              <w:t>Weight decay</w:t>
            </w:r>
          </w:p>
        </w:tc>
        <w:tc>
          <w:tcPr>
            <w:tcW w:type="dxa" w:w="4110"/>
            <w:vAlign w:val="center"/>
          </w:tcPr>
          <w:p>
            <w:pPr>
              <w:spacing w:line="240" w:lineRule="auto" w:after="40"/>
            </w:pPr>
            <w:r>
              <w:rPr>
                <w:rFonts w:ascii="Times New Roman" w:hAnsi="Times New Roman" w:eastAsia="Times New Roman"/>
                <w:sz w:val="20"/>
              </w:rPr>
              <w:t>0.0001</w:t>
            </w:r>
          </w:p>
        </w:tc>
      </w:tr>
      <w:tr>
        <w:tc>
          <w:tcPr>
            <w:tcW w:type="dxa" w:w="4110"/>
            <w:vAlign w:val="center"/>
          </w:tcPr>
          <w:p>
            <w:pPr>
              <w:spacing w:line="240" w:lineRule="auto" w:after="40"/>
            </w:pPr>
            <w:r>
              <w:rPr>
                <w:rFonts w:ascii="Times New Roman" w:hAnsi="Times New Roman" w:eastAsia="Times New Roman"/>
                <w:sz w:val="20"/>
              </w:rPr>
              <w:t>Optimiser</w:t>
            </w:r>
          </w:p>
        </w:tc>
        <w:tc>
          <w:tcPr>
            <w:tcW w:type="dxa" w:w="4110"/>
            <w:vAlign w:val="center"/>
          </w:tcPr>
          <w:p>
            <w:pPr>
              <w:spacing w:line="240" w:lineRule="auto" w:after="40"/>
            </w:pPr>
            <w:r>
              <w:rPr>
                <w:rFonts w:ascii="Times New Roman" w:hAnsi="Times New Roman" w:eastAsia="Times New Roman"/>
                <w:sz w:val="20"/>
              </w:rPr>
              <w:t>AdamW</w:t>
            </w:r>
          </w:p>
        </w:tc>
      </w:tr>
      <w:tr>
        <w:tc>
          <w:tcPr>
            <w:tcW w:type="dxa" w:w="4110"/>
            <w:vAlign w:val="center"/>
          </w:tcPr>
          <w:p>
            <w:pPr>
              <w:spacing w:line="240" w:lineRule="auto" w:after="40"/>
            </w:pPr>
            <w:r>
              <w:rPr>
                <w:rFonts w:ascii="Times New Roman" w:hAnsi="Times New Roman" w:eastAsia="Times New Roman"/>
                <w:sz w:val="20"/>
              </w:rPr>
              <w:t>Loss</w:t>
            </w:r>
          </w:p>
        </w:tc>
        <w:tc>
          <w:tcPr>
            <w:tcW w:type="dxa" w:w="4110"/>
            <w:vAlign w:val="center"/>
          </w:tcPr>
          <w:p>
            <w:pPr>
              <w:spacing w:line="240" w:lineRule="auto" w:after="40"/>
            </w:pPr>
            <w:r>
              <w:rPr>
                <w:rFonts w:ascii="Times New Roman" w:hAnsi="Times New Roman" w:eastAsia="Times New Roman"/>
                <w:sz w:val="20"/>
              </w:rPr>
              <w:t>CrossEntropyLoss</w:t>
            </w:r>
          </w:p>
        </w:tc>
      </w:tr>
      <w:tr>
        <w:tc>
          <w:tcPr>
            <w:tcW w:type="dxa" w:w="4110"/>
            <w:vAlign w:val="center"/>
          </w:tcPr>
          <w:p>
            <w:pPr>
              <w:spacing w:line="240" w:lineRule="auto" w:after="40"/>
            </w:pPr>
            <w:r>
              <w:rPr>
                <w:rFonts w:ascii="Times New Roman" w:hAnsi="Times New Roman" w:eastAsia="Times New Roman"/>
                <w:sz w:val="20"/>
              </w:rPr>
              <w:t>Scheduler</w:t>
            </w:r>
          </w:p>
        </w:tc>
        <w:tc>
          <w:tcPr>
            <w:tcW w:type="dxa" w:w="4110"/>
            <w:vAlign w:val="center"/>
          </w:tcPr>
          <w:p>
            <w:pPr>
              <w:spacing w:line="240" w:lineRule="auto" w:after="40"/>
            </w:pPr>
            <w:r>
              <w:rPr>
                <w:rFonts w:ascii="Times New Roman" w:hAnsi="Times New Roman" w:eastAsia="Times New Roman"/>
                <w:sz w:val="20"/>
              </w:rPr>
              <w:t>CosineAnnealingLR, T_max = 20</w:t>
            </w:r>
          </w:p>
        </w:tc>
      </w:tr>
      <w:tr>
        <w:tc>
          <w:tcPr>
            <w:tcW w:type="dxa" w:w="4110"/>
            <w:vAlign w:val="center"/>
          </w:tcPr>
          <w:p>
            <w:pPr>
              <w:spacing w:line="240" w:lineRule="auto" w:after="40"/>
            </w:pPr>
            <w:r>
              <w:rPr>
                <w:rFonts w:ascii="Times New Roman" w:hAnsi="Times New Roman" w:eastAsia="Times New Roman"/>
                <w:sz w:val="20"/>
              </w:rPr>
              <w:t>Validation/test split</w:t>
            </w:r>
          </w:p>
        </w:tc>
        <w:tc>
          <w:tcPr>
            <w:tcW w:type="dxa" w:w="4110"/>
            <w:vAlign w:val="center"/>
          </w:tcPr>
          <w:p>
            <w:pPr>
              <w:spacing w:line="240" w:lineRule="auto" w:after="40"/>
            </w:pPr>
            <w:r>
              <w:rPr>
                <w:rFonts w:ascii="Times New Roman" w:hAnsi="Times New Roman" w:eastAsia="Times New Roman"/>
                <w:sz w:val="20"/>
              </w:rPr>
              <w:t>15% / 15%, group-based</w:t>
            </w:r>
          </w:p>
        </w:tc>
      </w:tr>
    </w:tbl>
    <w:p>
      <w:pPr>
        <w:widowControl/>
      </w:pPr>
    </w:p>
    <w:p>
      <w:pPr>
        <w:pStyle w:val="Heading3"/>
        <w:widowControl/>
      </w:pPr>
      <w:r>
        <w:t>3.3.5 Grad-CAM and pseudo-mask generation</w:t>
      </w:r>
    </w:p>
    <w:p>
      <w:pPr>
        <w:widowControl/>
      </w:pPr>
      <w:r>
        <w:rPr>
          <w:rFonts w:ascii="Times New Roman" w:hAnsi="Times New Roman" w:eastAsia="Times New Roman"/>
          <w:i w:val="0"/>
          <w:sz w:val="24"/>
        </w:rPr>
        <w:t>Grad-CAM is generated for the predicted class using a late EfficientNet-B0 block. The resulting activation map is resized to the image dimensions and normalised per image. Otsu's threshold provides an image-specific cut-off. The foreground seed is defined above the threshold by a margin of 0.15, and the background seed below it by a margin of 0.15. Pixels in the uncertain interval are left for GrabCut to refine. GrabCut is run for five iterations.</w:t>
      </w:r>
    </w:p>
    <w:p>
      <w:pPr>
        <w:widowControl/>
      </w:pPr>
      <w:r>
        <w:rPr>
          <w:rFonts w:ascii="Times New Roman" w:hAnsi="Times New Roman" w:eastAsia="Times New Roman"/>
          <w:i w:val="0"/>
          <w:sz w:val="24"/>
        </w:rPr>
        <w:t>If the mask lacks reliable sure-foreground or sure-background seeds, the procedure falls back to a CAM threshold. If the refined foreground covers more than 85% of the frame, a tighter CAM-only threshold is used instead. Morphological opening and closing with a 5 × 5 elliptical kernel remove small artifacts and close gaps. Connected components smaller than 1% of the image area are removed. The result is a pseudo-mask intended to approximate the region associated with the prediction.</w:t>
      </w:r>
    </w:p>
    <w:p>
      <w:pPr>
        <w:pStyle w:val="Heading3"/>
        <w:widowControl/>
      </w:pPr>
      <w:r>
        <w:t>3.3.6 ABCD-inspired features and DSI</w:t>
      </w:r>
    </w:p>
    <w:p>
      <w:pPr>
        <w:widowControl/>
      </w:pPr>
      <w:r>
        <w:rPr>
          <w:rFonts w:ascii="Times New Roman" w:hAnsi="Times New Roman" w:eastAsia="Times New Roman"/>
          <w:i w:val="0"/>
          <w:sz w:val="24"/>
        </w:rPr>
        <w:t>A heuristic leaf mask is obtained by converting the image to grayscale, applying inverse Otsu thresholding and morphological closing/opening with a 7 × 7 elliptical kernel. If the estimated foreground occupies less than 10% or more than 95% of the frame, the whole frame is used as a fallback. This leaf mask is used to estimate affected-area percentage and is not a manually annotated leaf boundary.</w:t>
      </w:r>
    </w:p>
    <w:p>
      <w:pPr>
        <w:widowControl/>
      </w:pPr>
      <w:r>
        <w:rPr>
          <w:rFonts w:ascii="Times New Roman" w:hAnsi="Times New Roman" w:eastAsia="Times New Roman"/>
          <w:i w:val="0"/>
          <w:sz w:val="24"/>
        </w:rPr>
        <w:t>The raw asymmetry feature is computed from the coordinates of disease-mask pixels using principal component analysis to estimate the principal axis, then comparing the distribution on the two sides of the axis. Border irregularity is computed as one minus contour solidity, where solidity is contour area divided by convex-hull area. Colour variation is calculated from the standard deviation of LAB channels within the disease mask. Distribution combines spatial spread normalised by the image diagonal with the fraction of four quadrants containing disease pixels. Affected area is calculated as disease-mask pixels divided by leaf-mask pixels, expressed as a percentage.</w:t>
      </w:r>
    </w:p>
    <w:p>
      <w:pPr>
        <w:widowControl/>
      </w:pPr>
      <w:r>
        <w:rPr>
          <w:rFonts w:ascii="Times New Roman" w:hAnsi="Times New Roman" w:eastAsia="Times New Roman"/>
          <w:i w:val="0"/>
          <w:sz w:val="24"/>
        </w:rPr>
        <w:t>The raw feature values are normalised to 0–100 using calibration bounds derived from the fifth and ninety-fifth percentiles of observed raw values. The current notebook fits these bounds on observed test-set diseased predictions, which is a methodological limitation. The DSI is calculated as:</w:t>
      </w:r>
    </w:p>
    <w:p>
      <w:pPr>
        <w:widowControl/>
        <w:jc w:val="center"/>
      </w:pPr>
      <w:r>
        <w:rPr>
          <w:rFonts w:ascii="Times New Roman" w:hAnsi="Times New Roman" w:eastAsia="Times New Roman"/>
          <w:b/>
          <w:sz w:val="24"/>
        </w:rPr>
        <w:t>DSI = 0.20A + 0.20B + 0.20C + 0.15D + 0.25E</w:t>
      </w:r>
    </w:p>
    <w:p>
      <w:pPr>
        <w:widowControl/>
      </w:pPr>
      <w:r>
        <w:rPr>
          <w:rFonts w:ascii="Times New Roman" w:hAnsi="Times New Roman" w:eastAsia="Times New Roman"/>
          <w:i w:val="0"/>
          <w:sz w:val="24"/>
        </w:rPr>
        <w:t>where A is the calibrated asymmetry score, B is border irregularity, C is colour variation, D is spatial distribution and E is the affected-area percentage, each scaled to 0–100. The final score is clipped to the 0–100 interval. A healthy prediction is assigned DSI = 0. The configured categories are Mild (DSI ≤ 25), Moderate (25 &lt; DSI ≤ 50), Severe (50 &lt; DSI ≤ 75) and Critical (DSI &gt; 75). These cut-offs are computational thresholds and have not been validated against expert-assigned severity labels.</w:t>
      </w:r>
    </w:p>
    <w:p>
      <w:pPr>
        <w:pStyle w:val="Heading2"/>
        <w:widowControl/>
      </w:pPr>
      <w:r>
        <w:t>3.4 Measures and evaluation metrics</w:t>
      </w:r>
    </w:p>
    <w:p>
      <w:pPr>
        <w:widowControl/>
      </w:pPr>
      <w:r>
        <w:rPr>
          <w:rFonts w:ascii="Times New Roman" w:hAnsi="Times New Roman" w:eastAsia="Times New Roman"/>
          <w:i w:val="0"/>
          <w:sz w:val="24"/>
        </w:rPr>
        <w:t>The classifier is evaluated on 497 held-out test images. Accuracy is the proportion of correct predictions. Precision measures the proportion of predicted members of a class that are correct, while recall measures the proportion of actual class members correctly identified. The F1-score is the harmonic mean of precision and recall. Weighted averages account for the number of test examples in each class; macro averages give each class equal weight.</w:t>
      </w:r>
    </w:p>
    <w:p>
      <w:pPr>
        <w:widowControl/>
      </w:pPr>
      <w:r>
        <w:rPr>
          <w:rFonts w:ascii="Times New Roman" w:hAnsi="Times New Roman" w:eastAsia="Times New Roman"/>
          <w:i w:val="0"/>
          <w:sz w:val="24"/>
        </w:rPr>
        <w:t>No intersection-over-union (IoU) or Dice score is reported for pseudo-segmentation because the notebook does not include expert-annotated pixel-level masks. Similarly, the DSI is not evaluated against an expert severity scale because no such labels are available in the supplied experiment. This separation is important: the classifier's test metrics do not validate the mask quality or the agronomic meaning of the DSI.</w:t>
      </w:r>
    </w:p>
    <w:p>
      <w:pPr>
        <w:pStyle w:val="Heading2"/>
        <w:widowControl/>
      </w:pPr>
      <w:r>
        <w:t>3.5 Data analysis</w:t>
      </w:r>
    </w:p>
    <w:p>
      <w:pPr>
        <w:widowControl/>
      </w:pPr>
      <w:r>
        <w:rPr>
          <w:rFonts w:ascii="Times New Roman" w:hAnsi="Times New Roman" w:eastAsia="Times New Roman"/>
          <w:i w:val="0"/>
          <w:sz w:val="24"/>
        </w:rPr>
        <w:t>Classification analysis uses the held-out labels and predictions to compute accuracy, weighted precision, weighted recall, weighted F1 and per-class precision, recall, F1 and support. Training and validation curves are examined to select the checkpoint with the best validation accuracy. Pseudo-mask and DSI outputs are summarised descriptively. Descriptive DSI values should be interpreted as outputs of the current feature engineering and calibration procedure, not as validated estimates of biological disease severity.</w:t>
      </w:r>
    </w:p>
    <w:p>
      <w:pPr>
        <w:pStyle w:val="Heading2"/>
        <w:widowControl/>
      </w:pPr>
      <w:r>
        <w:t>3.6 Ethics privacy security and responsible AI</w:t>
      </w:r>
    </w:p>
    <w:p>
      <w:pPr>
        <w:widowControl/>
      </w:pPr>
      <w:r>
        <w:rPr>
          <w:rFonts w:ascii="Times New Roman" w:hAnsi="Times New Roman" w:eastAsia="Times New Roman"/>
          <w:i w:val="0"/>
          <w:sz w:val="24"/>
        </w:rPr>
        <w:t>The described experiment uses a public image dataset and does not include direct human-subject data. Ethical and responsible use still requires respecting the dataset's licence and attribution terms, avoiding unsupported claims about disease diagnosis, and communicating uncertainty to users. An automated result should not be presented as a substitute for confirmation by qualified agricultural personnel. A production interface should distinguish model confidence from disease certainty and should make clear that pseudo-masks and DSI categories are experimental.</w:t>
      </w:r>
    </w:p>
    <w:p>
      <w:pPr>
        <w:widowControl/>
      </w:pPr>
      <w:r>
        <w:rPr>
          <w:rFonts w:ascii="Times New Roman" w:hAnsi="Times New Roman" w:eastAsia="Times New Roman"/>
          <w:i w:val="0"/>
          <w:sz w:val="24"/>
        </w:rPr>
        <w:t>Model files and metadata should be versioned, stored with their class mapping and preprocessing configuration, and protected from unauthorised modification. Uploaded images should be handled according to an explicit privacy policy, including retention and deletion rules. These operational controls are recommendations for deployment; the notebook alone does not demonstrate that all such controls have been implemented.</w:t>
      </w:r>
    </w:p>
    <w:p>
      <w:pPr>
        <w:pStyle w:val="Heading2"/>
        <w:widowControl/>
      </w:pPr>
      <w:r>
        <w:t>3.7 Reproducibility and research artefacts</w:t>
      </w:r>
    </w:p>
    <w:p>
      <w:pPr>
        <w:widowControl/>
      </w:pPr>
      <w:r>
        <w:rPr>
          <w:rFonts w:ascii="Times New Roman" w:hAnsi="Times New Roman" w:eastAsia="Times New Roman"/>
          <w:i w:val="0"/>
          <w:sz w:val="24"/>
        </w:rPr>
        <w:t>The notebook sets a seed of 42 for Python, NumPy and PyTorch, configures CUDA seeds where available, sets the OpenCV random seed and requests deterministic cuDNN behaviour. The exported artefacts include the EfficientNet-B0 state dictionary, a TorchScript model, class mapping JSON, ABCD configuration JSON, ABCD calibration JSON and model metadata JSON. The final notebook reports a state-dictionary file of approximately 15.59 MB and a TorchScript file of approximately 16.11 MB.</w:t>
      </w:r>
    </w:p>
    <w:p>
      <w:pPr>
        <w:widowControl/>
      </w:pPr>
      <w:r>
        <w:rPr>
          <w:rFonts w:ascii="Times New Roman" w:hAnsi="Times New Roman" w:eastAsia="Times New Roman"/>
          <w:i w:val="0"/>
          <w:sz w:val="24"/>
        </w:rPr>
        <w:t>For reproducibility, the final submission should archive the exact notebook, dependency versions, dataset version or download date, model files, configuration files, and any evaluation outputs used in the thesis. A fixed random seed improves traceability but should not be described as a guarantee of identical results across all hardware and software environments.</w:t>
      </w:r>
    </w:p>
    <w:p>
      <w:pPr>
        <w:pStyle w:val="Heading1"/>
        <w:widowControl/>
      </w:pPr>
      <w:r>
        <w:t>4 PRODUCT AND SOLUTION DESIGN</w:t>
      </w:r>
    </w:p>
    <w:p>
      <w:pPr>
        <w:pStyle w:val="Heading2"/>
        <w:widowControl/>
      </w:pPr>
      <w:r>
        <w:t>4.1 Requirements</w:t>
      </w:r>
    </w:p>
    <w:p>
      <w:pPr>
        <w:pStyle w:val="Heading3"/>
        <w:widowControl/>
      </w:pPr>
      <w:r>
        <w:t>4.1.1 Functional requirements</w:t>
      </w:r>
    </w:p>
    <w:p>
      <w:pPr>
        <w:pStyle w:val="ListBullet"/>
        <w:widowControl/>
        <w:spacing w:line="360" w:lineRule="auto"/>
      </w:pPr>
      <w:r>
        <w:rPr>
          <w:rFonts w:ascii="Times New Roman" w:hAnsi="Times New Roman" w:eastAsia="Times New Roman"/>
          <w:sz w:val="24"/>
        </w:rPr>
        <w:t>The component shall accept a coconut leaf image through the surrounding application or an inference interface.</w:t>
      </w:r>
    </w:p>
    <w:p>
      <w:pPr>
        <w:pStyle w:val="ListBullet"/>
        <w:widowControl/>
        <w:spacing w:line="360" w:lineRule="auto"/>
      </w:pPr>
      <w:r>
        <w:rPr>
          <w:rFonts w:ascii="Times New Roman" w:hAnsi="Times New Roman" w:eastAsia="Times New Roman"/>
          <w:sz w:val="24"/>
        </w:rPr>
        <w:t>The component shall return one of four supported classes and a class probability or confidence value.</w:t>
      </w:r>
    </w:p>
    <w:p>
      <w:pPr>
        <w:pStyle w:val="ListBullet"/>
        <w:widowControl/>
        <w:spacing w:line="360" w:lineRule="auto"/>
      </w:pPr>
      <w:r>
        <w:rPr>
          <w:rFonts w:ascii="Times New Roman" w:hAnsi="Times New Roman" w:eastAsia="Times New Roman"/>
          <w:sz w:val="24"/>
        </w:rPr>
        <w:t>The component shall produce a Grad-CAM visualisation for the predicted class.</w:t>
      </w:r>
    </w:p>
    <w:p>
      <w:pPr>
        <w:pStyle w:val="ListBullet"/>
        <w:widowControl/>
        <w:spacing w:line="360" w:lineRule="auto"/>
      </w:pPr>
      <w:r>
        <w:rPr>
          <w:rFonts w:ascii="Times New Roman" w:hAnsi="Times New Roman" w:eastAsia="Times New Roman"/>
          <w:sz w:val="24"/>
        </w:rPr>
        <w:t>The component shall generate a pseudo-mask from the activation map using the configured WSSS refinement pipeline.</w:t>
      </w:r>
    </w:p>
    <w:p>
      <w:pPr>
        <w:pStyle w:val="ListBullet"/>
        <w:widowControl/>
        <w:spacing w:line="360" w:lineRule="auto"/>
      </w:pPr>
      <w:r>
        <w:rPr>
          <w:rFonts w:ascii="Times New Roman" w:hAnsi="Times New Roman" w:eastAsia="Times New Roman"/>
          <w:sz w:val="24"/>
        </w:rPr>
        <w:t>The component shall calculate ABCD-inspired features, affected-area percentage, DSI and a configured severity category for eligible diseased predictions.</w:t>
      </w:r>
    </w:p>
    <w:p>
      <w:pPr>
        <w:pStyle w:val="ListBullet"/>
        <w:widowControl/>
        <w:spacing w:line="360" w:lineRule="auto"/>
      </w:pPr>
      <w:r>
        <w:rPr>
          <w:rFonts w:ascii="Times New Roman" w:hAnsi="Times New Roman" w:eastAsia="Times New Roman"/>
          <w:sz w:val="24"/>
        </w:rPr>
        <w:t>The component shall expose model metadata and class mapping consistently with the deployed weights.</w:t>
      </w:r>
    </w:p>
    <w:p>
      <w:pPr>
        <w:pStyle w:val="Heading3"/>
        <w:widowControl/>
      </w:pPr>
      <w:r>
        <w:t>4.1.2 Non-functional requirements</w:t>
      </w:r>
    </w:p>
    <w:p>
      <w:pPr>
        <w:pStyle w:val="ListBullet"/>
        <w:widowControl/>
        <w:spacing w:line="360" w:lineRule="auto"/>
      </w:pPr>
      <w:r>
        <w:rPr>
          <w:rFonts w:ascii="Times New Roman" w:hAnsi="Times New Roman" w:eastAsia="Times New Roman"/>
          <w:sz w:val="24"/>
        </w:rPr>
        <w:t>Reproducibility: the training configuration and exported artefacts should be traceable.</w:t>
      </w:r>
    </w:p>
    <w:p>
      <w:pPr>
        <w:pStyle w:val="ListBullet"/>
        <w:widowControl/>
        <w:spacing w:line="360" w:lineRule="auto"/>
      </w:pPr>
      <w:r>
        <w:rPr>
          <w:rFonts w:ascii="Times New Roman" w:hAnsi="Times New Roman" w:eastAsia="Times New Roman"/>
          <w:sz w:val="24"/>
        </w:rPr>
        <w:t>Performance: inference should be practical for interactive use, subject to the deployment hardware.</w:t>
      </w:r>
    </w:p>
    <w:p>
      <w:pPr>
        <w:pStyle w:val="ListBullet"/>
        <w:widowControl/>
        <w:spacing w:line="360" w:lineRule="auto"/>
      </w:pPr>
      <w:r>
        <w:rPr>
          <w:rFonts w:ascii="Times New Roman" w:hAnsi="Times New Roman" w:eastAsia="Times New Roman"/>
          <w:sz w:val="24"/>
        </w:rPr>
        <w:t>Maintainability: preprocessing, classification, mask generation and severity scoring should be separated into understandable stages.</w:t>
      </w:r>
    </w:p>
    <w:p>
      <w:pPr>
        <w:pStyle w:val="ListBullet"/>
        <w:widowControl/>
        <w:spacing w:line="360" w:lineRule="auto"/>
      </w:pPr>
      <w:r>
        <w:rPr>
          <w:rFonts w:ascii="Times New Roman" w:hAnsi="Times New Roman" w:eastAsia="Times New Roman"/>
          <w:sz w:val="24"/>
        </w:rPr>
        <w:t>Reliability: failures in mask generation should be handled with explicit fallbacks rather than silently generating an apparently precise result.</w:t>
      </w:r>
    </w:p>
    <w:p>
      <w:pPr>
        <w:pStyle w:val="ListBullet"/>
        <w:widowControl/>
        <w:spacing w:line="360" w:lineRule="auto"/>
      </w:pPr>
      <w:r>
        <w:rPr>
          <w:rFonts w:ascii="Times New Roman" w:hAnsi="Times New Roman" w:eastAsia="Times New Roman"/>
          <w:sz w:val="24"/>
        </w:rPr>
        <w:t>Transparency: the interface should identify pseudo-segmentation and DSI as experimental and should not imply expert validation.</w:t>
      </w:r>
    </w:p>
    <w:p>
      <w:pPr>
        <w:pStyle w:val="ListBullet"/>
        <w:widowControl/>
        <w:spacing w:line="360" w:lineRule="auto"/>
      </w:pPr>
      <w:r>
        <w:rPr>
          <w:rFonts w:ascii="Times New Roman" w:hAnsi="Times New Roman" w:eastAsia="Times New Roman"/>
          <w:sz w:val="24"/>
        </w:rPr>
        <w:t>Security and privacy: uploaded images and model files should be handled with appropriate access and retention controls.</w:t>
      </w:r>
    </w:p>
    <w:p>
      <w:pPr>
        <w:pStyle w:val="Heading2"/>
        <w:widowControl/>
      </w:pPr>
      <w:r>
        <w:t>4.2 Component architecture within the complete solution</w:t>
      </w:r>
    </w:p>
    <w:p>
      <w:pPr>
        <w:widowControl/>
      </w:pPr>
      <w:r>
        <w:rPr>
          <w:rFonts w:ascii="Times New Roman" w:hAnsi="Times New Roman" w:eastAsia="Times New Roman"/>
          <w:i w:val="0"/>
          <w:sz w:val="24"/>
        </w:rPr>
        <w:t>The wider Coconut Diagnostics Suite contains four independent workflows exposed through a shared web platform. The WCLWD component receives a leaf image and returns a condition classification, visual explanation, pseudo-mask and computational severity result. According to the group paper, the overall platform uses a React dashboard, a Node.js/Express server, a Flask inference layer and MySQL storage. The modules do not form a single shared AI pipeline; they are accessed through the same application interface.</w:t>
      </w:r>
    </w:p>
    <w:p>
      <w:pPr>
        <w:widowControl/>
        <w:spacing w:line="240" w:lineRule="auto"/>
        <w:jc w:val="center"/>
      </w:pPr>
      <w:r>
        <w:rPr>
          <w:rFonts w:ascii="Times New Roman" w:hAnsi="Times New Roman" w:eastAsia="Times New Roman"/>
          <w:b/>
          <w:sz w:val="20"/>
        </w:rPr>
        <w:t>Figure 4.1. Place the group system input/output overview from the research paper here, with the WCLWD module highlighted.</w:t>
      </w:r>
    </w:p>
    <w:p>
      <w:pPr>
        <w:pStyle w:val="Heading2"/>
        <w:widowControl/>
      </w:pPr>
      <w:r>
        <w:t>4.3 Design alternatives and decisions</w:t>
      </w:r>
    </w:p>
    <w:p>
      <w:pPr>
        <w:widowControl/>
      </w:pPr>
      <w:r>
        <w:rPr>
          <w:rFonts w:ascii="Times New Roman" w:hAnsi="Times New Roman" w:eastAsia="Times New Roman"/>
          <w:i w:val="0"/>
          <w:sz w:val="24"/>
        </w:rPr>
        <w:t>EfficientNet-B0 was selected in the final executable notebook rather than the Vision Transformer mentioned in earlier proposal notes. The final model configuration, model construction code and exported filenames all identify EfficientNet-B0. A pretrained model reduces the need to learn all visual features from scratch. The four-class setup keeps the output aligned with the available labels.</w:t>
      </w:r>
    </w:p>
    <w:p>
      <w:pPr>
        <w:widowControl/>
      </w:pPr>
      <w:r>
        <w:rPr>
          <w:rFonts w:ascii="Times New Roman" w:hAnsi="Times New Roman" w:eastAsia="Times New Roman"/>
          <w:i w:val="0"/>
          <w:sz w:val="24"/>
        </w:rPr>
        <w:t>For segmentation, dense manual annotation was not part of the study. The chosen approach therefore uses Grad-CAM activation maps to seed Otsu thresholding and GrabCut. This reduces annotation requirements but also limits the strength of the segmentation claims. The pipeline uses morphological cleanup and area safeguards to reduce common mask artifacts. For severity scoring, a weighted index was chosen because it provides a transparent numerical summary; however, the weights and thresholds are configuration decisions rather than empirically validated clinical parameters.</w:t>
      </w:r>
    </w:p>
    <w:p>
      <w:pPr>
        <w:pStyle w:val="Heading2"/>
        <w:widowControl/>
      </w:pPr>
      <w:r>
        <w:t>4.4 Detailed design</w:t>
      </w:r>
    </w:p>
    <w:p>
      <w:pPr>
        <w:pStyle w:val="Heading3"/>
        <w:widowControl/>
      </w:pPr>
      <w:r>
        <w:t>4.4.1 Input and preprocessing layer</w:t>
      </w:r>
    </w:p>
    <w:p>
      <w:pPr>
        <w:widowControl/>
      </w:pPr>
      <w:r>
        <w:rPr>
          <w:rFonts w:ascii="Times New Roman" w:hAnsi="Times New Roman" w:eastAsia="Times New Roman"/>
          <w:i w:val="0"/>
          <w:sz w:val="24"/>
        </w:rPr>
        <w:t>The input layer validates that an image can be read, converts it to RGB, reduces coloured noise, enhances luminance contrast, resizes it and normalises channels. The same preprocessing convention must be applied during training and inference to avoid a training-serving mismatch.</w:t>
      </w:r>
    </w:p>
    <w:p>
      <w:pPr>
        <w:pStyle w:val="Heading3"/>
        <w:widowControl/>
      </w:pPr>
      <w:r>
        <w:t>4.4.2 Classification layer</w:t>
      </w:r>
    </w:p>
    <w:p>
      <w:pPr>
        <w:widowControl/>
      </w:pPr>
      <w:r>
        <w:rPr>
          <w:rFonts w:ascii="Times New Roman" w:hAnsi="Times New Roman" w:eastAsia="Times New Roman"/>
          <w:i w:val="0"/>
          <w:sz w:val="24"/>
        </w:rPr>
        <w:t>EfficientNet-B0 produces four logits. Softmax is applied to obtain class probabilities, and the highest-probability class becomes the predicted label. Confidence is a model-derived probability and is not equivalent to calibrated clinical certainty.</w:t>
      </w:r>
    </w:p>
    <w:p>
      <w:pPr>
        <w:pStyle w:val="Heading3"/>
        <w:widowControl/>
      </w:pPr>
      <w:r>
        <w:t>4.4.3 Explainability and pseudo-segmentation layer</w:t>
      </w:r>
    </w:p>
    <w:p>
      <w:pPr>
        <w:widowControl/>
      </w:pPr>
      <w:r>
        <w:rPr>
          <w:rFonts w:ascii="Times New Roman" w:hAnsi="Times New Roman" w:eastAsia="Times New Roman"/>
          <w:i w:val="0"/>
          <w:sz w:val="24"/>
        </w:rPr>
        <w:t>Grad-CAM is computed for the selected class using the configured late convolutional block. The activation map is normalised and used to seed the segmentation refinement. The resulting mask is binary and heuristic. It should be shown as an approximate region of interest, not as an exact boundary of all diseased tissue.</w:t>
      </w:r>
    </w:p>
    <w:p>
      <w:pPr>
        <w:pStyle w:val="Heading3"/>
        <w:widowControl/>
      </w:pPr>
      <w:r>
        <w:t>4.4.4 Severity layer</w:t>
      </w:r>
    </w:p>
    <w:p>
      <w:pPr>
        <w:widowControl/>
      </w:pPr>
      <w:r>
        <w:rPr>
          <w:rFonts w:ascii="Times New Roman" w:hAnsi="Times New Roman" w:eastAsia="Times New Roman"/>
          <w:i w:val="0"/>
          <w:sz w:val="24"/>
        </w:rPr>
        <w:t>The severity layer computes asymmetry, border irregularity, colour variation, spatial distribution and affected area. It normalises each feature to a common range and applies the configured weights. The system maps the resulting score to one of four severity categories. Because feature calibration and thresholds are not externally validated, the output should be described as a computational severity indicator.</w:t>
      </w:r>
    </w:p>
    <w:p>
      <w:pPr>
        <w:pStyle w:val="Heading2"/>
        <w:widowControl/>
      </w:pPr>
      <w:r>
        <w:t>4.5 Standards and professional practice</w:t>
      </w:r>
    </w:p>
    <w:p>
      <w:pPr>
        <w:widowControl/>
      </w:pPr>
      <w:r>
        <w:rPr>
          <w:rFonts w:ascii="Times New Roman" w:hAnsi="Times New Roman" w:eastAsia="Times New Roman"/>
          <w:i w:val="0"/>
          <w:sz w:val="24"/>
        </w:rPr>
        <w:t>The implementation follows common machine-learning practice by separating training, validation and test data, selecting the best checkpoint on validation performance and reporting held-out metrics. The group-based split is a deliberate effort to reduce leakage from augmented or near-duplicate images. Professional practice also requires reporting class imbalance, per-class performance, known limitations, data provenance and model versioning. Future work should use a fixed calibration set rather than fitting normalisation bounds on test-set predictions, and should use expert-annotated masks and severity labels for independent validation.</w:t>
      </w:r>
    </w:p>
    <w:p>
      <w:pPr>
        <w:pStyle w:val="Heading1"/>
        <w:widowControl/>
      </w:pPr>
      <w:r>
        <w:t>5 IMPLEMENTATION INTEGRATION AND TESTING</w:t>
      </w:r>
    </w:p>
    <w:p>
      <w:pPr>
        <w:pStyle w:val="Heading2"/>
        <w:widowControl/>
      </w:pPr>
      <w:r>
        <w:t>5.1 Development environment and technology stack</w:t>
      </w:r>
    </w:p>
    <w:p>
      <w:pPr>
        <w:widowControl/>
      </w:pPr>
      <w:r>
        <w:rPr>
          <w:rFonts w:ascii="Times New Roman" w:hAnsi="Times New Roman" w:eastAsia="Times New Roman"/>
          <w:i w:val="0"/>
          <w:sz w:val="24"/>
        </w:rPr>
        <w:t>The final training notebook was executed in a Kaggle notebook environment. The implementation uses Python and the PyTorch deep-learning framework, timm for EfficientNet-B0, torchvision and standard scientific Python libraries for model training and evaluation, OpenCV for image processing, ImageHash for perceptual hashing, scikit-learn for group splitting and evaluation metrics, NumPy and pandas for data handling, and scikit-image or related image-processing utilities where required by the notebook. The broader application context described in the group paper uses React, Node.js/Express, Flask and MySQL.</w:t>
      </w:r>
    </w:p>
    <w:p>
      <w:pPr>
        <w:widowControl/>
        <w:spacing w:line="240" w:lineRule="auto"/>
        <w:jc w:val="center"/>
      </w:pPr>
      <w:r>
        <w:rPr>
          <w:rFonts w:ascii="Times New Roman" w:hAnsi="Times New Roman" w:eastAsia="Times New Roman"/>
          <w:b/>
          <w:sz w:val="20"/>
        </w:rPr>
        <w:t>Table 5.1. Main technologies used</w:t>
      </w:r>
    </w:p>
    <w:tbl>
      <w:tblPr>
        <w:tblStyle w:val="TableGrid"/>
        <w:tblW w:type="auto" w:w="0"/>
        <w:jc w:val="center"/>
        <w:tblLook w:firstColumn="1" w:firstRow="1" w:lastColumn="0" w:lastRow="0" w:noHBand="0" w:noVBand="1" w:val="04A0"/>
      </w:tblPr>
      <w:tblGrid>
        <w:gridCol w:w="4110"/>
        <w:gridCol w:w="4110"/>
      </w:tblGrid>
      <w:tr>
        <w:tc>
          <w:tcPr>
            <w:tcW w:type="dxa" w:w="4110"/>
            <w:vAlign w:val="center"/>
          </w:tcPr>
          <w:p>
            <w:r>
              <w:rPr>
                <w:rFonts w:ascii="Times New Roman" w:hAnsi="Times New Roman" w:eastAsia="Times New Roman"/>
                <w:b/>
                <w:sz w:val="20"/>
              </w:rPr>
              <w:t>Technology</w:t>
            </w:r>
          </w:p>
        </w:tc>
        <w:tc>
          <w:tcPr>
            <w:tcW w:type="dxa" w:w="4110"/>
            <w:vAlign w:val="center"/>
          </w:tcPr>
          <w:p>
            <w:r>
              <w:rPr>
                <w:rFonts w:ascii="Times New Roman" w:hAnsi="Times New Roman" w:eastAsia="Times New Roman"/>
                <w:b/>
                <w:sz w:val="20"/>
              </w:rPr>
              <w:t>Role in the component</w:t>
            </w:r>
          </w:p>
        </w:tc>
      </w:tr>
      <w:tr>
        <w:tc>
          <w:tcPr>
            <w:tcW w:type="dxa" w:w="4110"/>
            <w:vAlign w:val="center"/>
          </w:tcPr>
          <w:p>
            <w:pPr>
              <w:spacing w:line="240" w:lineRule="auto" w:after="40"/>
            </w:pPr>
            <w:r>
              <w:rPr>
                <w:rFonts w:ascii="Times New Roman" w:hAnsi="Times New Roman" w:eastAsia="Times New Roman"/>
                <w:sz w:val="20"/>
              </w:rPr>
              <w:t>Kaggle Notebooks</w:t>
            </w:r>
          </w:p>
        </w:tc>
        <w:tc>
          <w:tcPr>
            <w:tcW w:type="dxa" w:w="4110"/>
            <w:vAlign w:val="center"/>
          </w:tcPr>
          <w:p>
            <w:pPr>
              <w:spacing w:line="240" w:lineRule="auto" w:after="40"/>
            </w:pPr>
            <w:r>
              <w:rPr>
                <w:rFonts w:ascii="Times New Roman" w:hAnsi="Times New Roman" w:eastAsia="Times New Roman"/>
                <w:sz w:val="20"/>
              </w:rPr>
              <w:t>Cloud environment for dataset access and model training</w:t>
            </w:r>
          </w:p>
        </w:tc>
      </w:tr>
      <w:tr>
        <w:tc>
          <w:tcPr>
            <w:tcW w:type="dxa" w:w="4110"/>
            <w:vAlign w:val="center"/>
          </w:tcPr>
          <w:p>
            <w:pPr>
              <w:spacing w:line="240" w:lineRule="auto" w:after="40"/>
            </w:pPr>
            <w:r>
              <w:rPr>
                <w:rFonts w:ascii="Times New Roman" w:hAnsi="Times New Roman" w:eastAsia="Times New Roman"/>
                <w:sz w:val="20"/>
              </w:rPr>
              <w:t>Python</w:t>
            </w:r>
          </w:p>
        </w:tc>
        <w:tc>
          <w:tcPr>
            <w:tcW w:type="dxa" w:w="4110"/>
            <w:vAlign w:val="center"/>
          </w:tcPr>
          <w:p>
            <w:pPr>
              <w:spacing w:line="240" w:lineRule="auto" w:after="40"/>
            </w:pPr>
            <w:r>
              <w:rPr>
                <w:rFonts w:ascii="Times New Roman" w:hAnsi="Times New Roman" w:eastAsia="Times New Roman"/>
                <w:sz w:val="20"/>
              </w:rPr>
              <w:t>Implementation language</w:t>
            </w:r>
          </w:p>
        </w:tc>
      </w:tr>
      <w:tr>
        <w:tc>
          <w:tcPr>
            <w:tcW w:type="dxa" w:w="4110"/>
            <w:vAlign w:val="center"/>
          </w:tcPr>
          <w:p>
            <w:pPr>
              <w:spacing w:line="240" w:lineRule="auto" w:after="40"/>
            </w:pPr>
            <w:r>
              <w:rPr>
                <w:rFonts w:ascii="Times New Roman" w:hAnsi="Times New Roman" w:eastAsia="Times New Roman"/>
                <w:sz w:val="20"/>
              </w:rPr>
              <w:t>PyTorch</w:t>
            </w:r>
          </w:p>
        </w:tc>
        <w:tc>
          <w:tcPr>
            <w:tcW w:type="dxa" w:w="4110"/>
            <w:vAlign w:val="center"/>
          </w:tcPr>
          <w:p>
            <w:pPr>
              <w:spacing w:line="240" w:lineRule="auto" w:after="40"/>
            </w:pPr>
            <w:r>
              <w:rPr>
                <w:rFonts w:ascii="Times New Roman" w:hAnsi="Times New Roman" w:eastAsia="Times New Roman"/>
                <w:sz w:val="20"/>
              </w:rPr>
              <w:t>Model training, inference and checkpoint management</w:t>
            </w:r>
          </w:p>
        </w:tc>
      </w:tr>
      <w:tr>
        <w:tc>
          <w:tcPr>
            <w:tcW w:type="dxa" w:w="4110"/>
            <w:vAlign w:val="center"/>
          </w:tcPr>
          <w:p>
            <w:pPr>
              <w:spacing w:line="240" w:lineRule="auto" w:after="40"/>
            </w:pPr>
            <w:r>
              <w:rPr>
                <w:rFonts w:ascii="Times New Roman" w:hAnsi="Times New Roman" w:eastAsia="Times New Roman"/>
                <w:sz w:val="20"/>
              </w:rPr>
              <w:t>timm</w:t>
            </w:r>
          </w:p>
        </w:tc>
        <w:tc>
          <w:tcPr>
            <w:tcW w:type="dxa" w:w="4110"/>
            <w:vAlign w:val="center"/>
          </w:tcPr>
          <w:p>
            <w:pPr>
              <w:spacing w:line="240" w:lineRule="auto" w:after="40"/>
            </w:pPr>
            <w:r>
              <w:rPr>
                <w:rFonts w:ascii="Times New Roman" w:hAnsi="Times New Roman" w:eastAsia="Times New Roman"/>
                <w:sz w:val="20"/>
              </w:rPr>
              <w:t>Pretrained EfficientNet-B0 model creation</w:t>
            </w:r>
          </w:p>
        </w:tc>
      </w:tr>
      <w:tr>
        <w:tc>
          <w:tcPr>
            <w:tcW w:type="dxa" w:w="4110"/>
            <w:vAlign w:val="center"/>
          </w:tcPr>
          <w:p>
            <w:pPr>
              <w:spacing w:line="240" w:lineRule="auto" w:after="40"/>
            </w:pPr>
            <w:r>
              <w:rPr>
                <w:rFonts w:ascii="Times New Roman" w:hAnsi="Times New Roman" w:eastAsia="Times New Roman"/>
                <w:sz w:val="20"/>
              </w:rPr>
              <w:t>OpenCV</w:t>
            </w:r>
          </w:p>
        </w:tc>
        <w:tc>
          <w:tcPr>
            <w:tcW w:type="dxa" w:w="4110"/>
            <w:vAlign w:val="center"/>
          </w:tcPr>
          <w:p>
            <w:pPr>
              <w:spacing w:line="240" w:lineRule="auto" w:after="40"/>
            </w:pPr>
            <w:r>
              <w:rPr>
                <w:rFonts w:ascii="Times New Roman" w:hAnsi="Times New Roman" w:eastAsia="Times New Roman"/>
                <w:sz w:val="20"/>
              </w:rPr>
              <w:t>Colour conversion, denoising, CLAHE, morphology and GrabCut</w:t>
            </w:r>
          </w:p>
        </w:tc>
      </w:tr>
      <w:tr>
        <w:tc>
          <w:tcPr>
            <w:tcW w:type="dxa" w:w="4110"/>
            <w:vAlign w:val="center"/>
          </w:tcPr>
          <w:p>
            <w:pPr>
              <w:spacing w:line="240" w:lineRule="auto" w:after="40"/>
            </w:pPr>
            <w:r>
              <w:rPr>
                <w:rFonts w:ascii="Times New Roman" w:hAnsi="Times New Roman" w:eastAsia="Times New Roman"/>
                <w:sz w:val="20"/>
              </w:rPr>
              <w:t>ImageHash</w:t>
            </w:r>
          </w:p>
        </w:tc>
        <w:tc>
          <w:tcPr>
            <w:tcW w:type="dxa" w:w="4110"/>
            <w:vAlign w:val="center"/>
          </w:tcPr>
          <w:p>
            <w:pPr>
              <w:spacing w:line="240" w:lineRule="auto" w:after="40"/>
            </w:pPr>
            <w:r>
              <w:rPr>
                <w:rFonts w:ascii="Times New Roman" w:hAnsi="Times New Roman" w:eastAsia="Times New Roman"/>
                <w:sz w:val="20"/>
              </w:rPr>
              <w:t>Perceptual hashing for near-duplicate grouping</w:t>
            </w:r>
          </w:p>
        </w:tc>
      </w:tr>
      <w:tr>
        <w:tc>
          <w:tcPr>
            <w:tcW w:type="dxa" w:w="4110"/>
            <w:vAlign w:val="center"/>
          </w:tcPr>
          <w:p>
            <w:pPr>
              <w:spacing w:line="240" w:lineRule="auto" w:after="40"/>
            </w:pPr>
            <w:r>
              <w:rPr>
                <w:rFonts w:ascii="Times New Roman" w:hAnsi="Times New Roman" w:eastAsia="Times New Roman"/>
                <w:sz w:val="20"/>
              </w:rPr>
              <w:t>scikit-learn</w:t>
            </w:r>
          </w:p>
        </w:tc>
        <w:tc>
          <w:tcPr>
            <w:tcW w:type="dxa" w:w="4110"/>
            <w:vAlign w:val="center"/>
          </w:tcPr>
          <w:p>
            <w:pPr>
              <w:spacing w:line="240" w:lineRule="auto" w:after="40"/>
            </w:pPr>
            <w:r>
              <w:rPr>
                <w:rFonts w:ascii="Times New Roman" w:hAnsi="Times New Roman" w:eastAsia="Times New Roman"/>
                <w:sz w:val="20"/>
              </w:rPr>
              <w:t>GroupShuffleSplit and classification metrics</w:t>
            </w:r>
          </w:p>
        </w:tc>
      </w:tr>
      <w:tr>
        <w:tc>
          <w:tcPr>
            <w:tcW w:type="dxa" w:w="4110"/>
            <w:vAlign w:val="center"/>
          </w:tcPr>
          <w:p>
            <w:pPr>
              <w:spacing w:line="240" w:lineRule="auto" w:after="40"/>
            </w:pPr>
            <w:r>
              <w:rPr>
                <w:rFonts w:ascii="Times New Roman" w:hAnsi="Times New Roman" w:eastAsia="Times New Roman"/>
                <w:sz w:val="20"/>
              </w:rPr>
              <w:t>NumPy / pandas</w:t>
            </w:r>
          </w:p>
        </w:tc>
        <w:tc>
          <w:tcPr>
            <w:tcW w:type="dxa" w:w="4110"/>
            <w:vAlign w:val="center"/>
          </w:tcPr>
          <w:p>
            <w:pPr>
              <w:spacing w:line="240" w:lineRule="auto" w:after="40"/>
            </w:pPr>
            <w:r>
              <w:rPr>
                <w:rFonts w:ascii="Times New Roman" w:hAnsi="Times New Roman" w:eastAsia="Times New Roman"/>
                <w:sz w:val="20"/>
              </w:rPr>
              <w:t>Numerical operations and dataset metadata</w:t>
            </w:r>
          </w:p>
        </w:tc>
      </w:tr>
      <w:tr>
        <w:tc>
          <w:tcPr>
            <w:tcW w:type="dxa" w:w="4110"/>
            <w:vAlign w:val="center"/>
          </w:tcPr>
          <w:p>
            <w:pPr>
              <w:spacing w:line="240" w:lineRule="auto" w:after="40"/>
            </w:pPr>
            <w:r>
              <w:rPr>
                <w:rFonts w:ascii="Times New Roman" w:hAnsi="Times New Roman" w:eastAsia="Times New Roman"/>
                <w:sz w:val="20"/>
              </w:rPr>
              <w:t>Flask (platform context)</w:t>
            </w:r>
          </w:p>
        </w:tc>
        <w:tc>
          <w:tcPr>
            <w:tcW w:type="dxa" w:w="4110"/>
            <w:vAlign w:val="center"/>
          </w:tcPr>
          <w:p>
            <w:pPr>
              <w:spacing w:line="240" w:lineRule="auto" w:after="40"/>
            </w:pPr>
            <w:r>
              <w:rPr>
                <w:rFonts w:ascii="Times New Roman" w:hAnsi="Times New Roman" w:eastAsia="Times New Roman"/>
                <w:sz w:val="20"/>
              </w:rPr>
              <w:t>Inference API layer in the wider application</w:t>
            </w:r>
          </w:p>
        </w:tc>
      </w:tr>
      <w:tr>
        <w:tc>
          <w:tcPr>
            <w:tcW w:type="dxa" w:w="4110"/>
            <w:vAlign w:val="center"/>
          </w:tcPr>
          <w:p>
            <w:pPr>
              <w:spacing w:line="240" w:lineRule="auto" w:after="40"/>
            </w:pPr>
            <w:r>
              <w:rPr>
                <w:rFonts w:ascii="Times New Roman" w:hAnsi="Times New Roman" w:eastAsia="Times New Roman"/>
                <w:sz w:val="20"/>
              </w:rPr>
              <w:t>React / Node.js / Express / MySQL (platform context)</w:t>
            </w:r>
          </w:p>
        </w:tc>
        <w:tc>
          <w:tcPr>
            <w:tcW w:type="dxa" w:w="4110"/>
            <w:vAlign w:val="center"/>
          </w:tcPr>
          <w:p>
            <w:pPr>
              <w:spacing w:line="240" w:lineRule="auto" w:after="40"/>
            </w:pPr>
            <w:r>
              <w:rPr>
                <w:rFonts w:ascii="Times New Roman" w:hAnsi="Times New Roman" w:eastAsia="Times New Roman"/>
                <w:sz w:val="20"/>
              </w:rPr>
              <w:t>User interface, application routing and data persistence in the wider system</w:t>
            </w:r>
          </w:p>
        </w:tc>
      </w:tr>
    </w:tbl>
    <w:p>
      <w:pPr>
        <w:widowControl/>
      </w:pPr>
    </w:p>
    <w:p>
      <w:pPr>
        <w:pStyle w:val="Heading2"/>
        <w:widowControl/>
      </w:pPr>
      <w:r>
        <w:t>5.2 Component implementation</w:t>
      </w:r>
    </w:p>
    <w:p>
      <w:pPr>
        <w:widowControl/>
      </w:pPr>
      <w:r>
        <w:rPr>
          <w:rFonts w:ascii="Times New Roman" w:hAnsi="Times New Roman" w:eastAsia="Times New Roman"/>
          <w:i w:val="0"/>
          <w:sz w:val="24"/>
        </w:rPr>
        <w:t>The implementation is organised into notebook stages: environment setup and configuration; dataset discovery; class checks; perceptual-hash grouping; train/validation/test split; training-only healthy-class oversampling; preprocessing and cache creation; EfficientNet-B0 training; checkpoint selection; held-out evaluation; Grad-CAM generation; pseudo-mask refinement; ABCD feature extraction; DSI calibration and calculation; and deployment export.</w:t>
      </w:r>
    </w:p>
    <w:p>
      <w:pPr>
        <w:widowControl/>
      </w:pPr>
      <w:r>
        <w:rPr>
          <w:rFonts w:ascii="Times New Roman" w:hAnsi="Times New Roman" w:eastAsia="Times New Roman"/>
          <w:i w:val="0"/>
          <w:sz w:val="24"/>
        </w:rPr>
        <w:t>The model is instantiated using timm with the model name efficientnet_b0, pretrained weights and four output classes. Training uses AdamW, cross-entropy loss and a cosine annealing schedule. The best state is selected according to validation accuracy and loaded for test evaluation. The exported deployment package includes the model weights, TorchScript version, class-to-index mapping, ABCD configuration, calibration bounds and model metadata.</w:t>
      </w:r>
    </w:p>
    <w:p>
      <w:pPr>
        <w:pStyle w:val="Heading2"/>
        <w:widowControl/>
      </w:pPr>
      <w:r>
        <w:t>5.3 Integration with the other components</w:t>
      </w:r>
    </w:p>
    <w:p>
      <w:pPr>
        <w:widowControl/>
      </w:pPr>
      <w:r>
        <w:rPr>
          <w:rFonts w:ascii="Times New Roman" w:hAnsi="Times New Roman" w:eastAsia="Times New Roman"/>
          <w:i w:val="0"/>
          <w:sz w:val="24"/>
        </w:rPr>
        <w:t>Within the complete platform, the WCLWD assessment component is one of four independent modules. The shared web interface allows a user to select the WCLWD workflow, submit a leaf image and inspect the returned results. The other modules address germplasm identification, land utilisation and disease advisory. They use different data and evaluation methods, so integration is primarily at the application and user-workflow level rather than through shared model parameters.</w:t>
      </w:r>
    </w:p>
    <w:p>
      <w:pPr>
        <w:widowControl/>
      </w:pPr>
      <w:r>
        <w:rPr>
          <w:rFonts w:ascii="Times New Roman" w:hAnsi="Times New Roman" w:eastAsia="Times New Roman"/>
          <w:i w:val="0"/>
          <w:sz w:val="24"/>
        </w:rPr>
        <w:t>The group paper identifies a React dashboard backed by Node.js/Express, a Flask inference layer and MySQL storage. The final notebook confirms export of model and configuration artefacts but does not, by itself, prove every production integration behaviour. Before submission, screenshots or test records from the running application should be added to document the exact API request/response and the user interface actually tested.</w:t>
      </w:r>
    </w:p>
    <w:p>
      <w:pPr>
        <w:pStyle w:val="Heading2"/>
        <w:widowControl/>
      </w:pPr>
      <w:r>
        <w:t>5.4 Verification and software testing</w:t>
      </w:r>
    </w:p>
    <w:p>
      <w:pPr>
        <w:widowControl/>
      </w:pPr>
      <w:r>
        <w:rPr>
          <w:rFonts w:ascii="Times New Roman" w:hAnsi="Times New Roman" w:eastAsia="Times New Roman"/>
          <w:i w:val="0"/>
          <w:sz w:val="24"/>
        </w:rPr>
        <w:t>The notebook includes several forms of verification. Dataset checks confirm that the expected four class folders were discovered. Perceptual-hash grouping reports that no detected near-duplicate group spans train, validation and test. The model is evaluated on a held-out test partition and class-level precision, recall and F1 are calculated. Export checks confirm that the state dictionary, TorchScript file and JSON configuration files were written.</w:t>
      </w:r>
    </w:p>
    <w:p>
      <w:pPr>
        <w:widowControl/>
      </w:pPr>
      <w:r>
        <w:rPr>
          <w:rFonts w:ascii="Times New Roman" w:hAnsi="Times New Roman" w:eastAsia="Times New Roman"/>
          <w:i w:val="0"/>
          <w:sz w:val="24"/>
        </w:rPr>
        <w:t>These checks support basic pipeline verification but are not equivalent to full software quality assurance. The supplied notebook does not include a formal suite of API integration tests, user acceptance tests, performance benchmarks on production hardware, or expert evaluation of the pseudo-mask and DSI. Such tests should be added before deployment claims are strengthened.</w:t>
      </w:r>
    </w:p>
    <w:p>
      <w:pPr>
        <w:widowControl/>
        <w:spacing w:line="240" w:lineRule="auto"/>
        <w:jc w:val="center"/>
      </w:pPr>
      <w:r>
        <w:rPr>
          <w:rFonts w:ascii="Times New Roman" w:hAnsi="Times New Roman" w:eastAsia="Times New Roman"/>
          <w:b/>
          <w:sz w:val="20"/>
        </w:rPr>
        <w:t>Table 5.2. Verification evidence available in the notebook</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Pr>
          <w:p>
            <w:r>
              <w:rPr>
                <w:rFonts w:ascii="Times New Roman" w:hAnsi="Times New Roman" w:eastAsia="Times New Roman"/>
                <w:b/>
                <w:sz w:val="20"/>
              </w:rPr>
              <w:t>Test area</w:t>
            </w:r>
          </w:p>
        </w:tc>
        <w:tc>
          <w:tcPr>
            <w:tcW w:type="dxa" w:w="2740"/>
            <w:vAlign w:val="center"/>
          </w:tcPr>
          <w:p>
            <w:r>
              <w:rPr>
                <w:rFonts w:ascii="Times New Roman" w:hAnsi="Times New Roman" w:eastAsia="Times New Roman"/>
                <w:b/>
                <w:sz w:val="20"/>
              </w:rPr>
              <w:t>Evidence</w:t>
            </w:r>
          </w:p>
        </w:tc>
        <w:tc>
          <w:tcPr>
            <w:tcW w:type="dxa" w:w="2740"/>
            <w:vAlign w:val="center"/>
          </w:tcPr>
          <w:p>
            <w:r>
              <w:rPr>
                <w:rFonts w:ascii="Times New Roman" w:hAnsi="Times New Roman" w:eastAsia="Times New Roman"/>
                <w:b/>
                <w:sz w:val="20"/>
              </w:rPr>
              <w:t>Status/limitation</w:t>
            </w:r>
          </w:p>
        </w:tc>
      </w:tr>
      <w:tr>
        <w:tc>
          <w:tcPr>
            <w:tcW w:type="dxa" w:w="2740"/>
            <w:vAlign w:val="center"/>
          </w:tcPr>
          <w:p>
            <w:pPr>
              <w:spacing w:line="240" w:lineRule="auto" w:after="40"/>
            </w:pPr>
            <w:r>
              <w:rPr>
                <w:rFonts w:ascii="Times New Roman" w:hAnsi="Times New Roman" w:eastAsia="Times New Roman"/>
                <w:sz w:val="20"/>
              </w:rPr>
              <w:t>Dataset discovery</w:t>
            </w:r>
          </w:p>
        </w:tc>
        <w:tc>
          <w:tcPr>
            <w:tcW w:type="dxa" w:w="2740"/>
            <w:vAlign w:val="center"/>
          </w:tcPr>
          <w:p>
            <w:pPr>
              <w:spacing w:line="240" w:lineRule="auto" w:after="40"/>
            </w:pPr>
            <w:r>
              <w:rPr>
                <w:rFonts w:ascii="Times New Roman" w:hAnsi="Times New Roman" w:eastAsia="Times New Roman"/>
                <w:sz w:val="20"/>
              </w:rPr>
              <w:t>3,354 images across four expected classes</w:t>
            </w:r>
          </w:p>
        </w:tc>
        <w:tc>
          <w:tcPr>
            <w:tcW w:type="dxa" w:w="2740"/>
            <w:vAlign w:val="center"/>
          </w:tcPr>
          <w:p>
            <w:pPr>
              <w:spacing w:line="240" w:lineRule="auto" w:after="40"/>
            </w:pPr>
            <w:r>
              <w:rPr>
                <w:rFonts w:ascii="Times New Roman" w:hAnsi="Times New Roman" w:eastAsia="Times New Roman"/>
                <w:sz w:val="20"/>
              </w:rPr>
              <w:t>Completed in notebook</w:t>
            </w:r>
          </w:p>
        </w:tc>
      </w:tr>
      <w:tr>
        <w:tc>
          <w:tcPr>
            <w:tcW w:type="dxa" w:w="2740"/>
            <w:vAlign w:val="center"/>
          </w:tcPr>
          <w:p>
            <w:pPr>
              <w:spacing w:line="240" w:lineRule="auto" w:after="40"/>
            </w:pPr>
            <w:r>
              <w:rPr>
                <w:rFonts w:ascii="Times New Roman" w:hAnsi="Times New Roman" w:eastAsia="Times New Roman"/>
                <w:sz w:val="20"/>
              </w:rPr>
              <w:t>Leakage mitigation</w:t>
            </w:r>
          </w:p>
        </w:tc>
        <w:tc>
          <w:tcPr>
            <w:tcW w:type="dxa" w:w="2740"/>
            <w:vAlign w:val="center"/>
          </w:tcPr>
          <w:p>
            <w:pPr>
              <w:spacing w:line="240" w:lineRule="auto" w:after="40"/>
            </w:pPr>
            <w:r>
              <w:rPr>
                <w:rFonts w:ascii="Times New Roman" w:hAnsi="Times New Roman" w:eastAsia="Times New Roman"/>
                <w:sz w:val="20"/>
              </w:rPr>
              <w:t>3,238 groups; no detected group crosses splits</w:t>
            </w:r>
          </w:p>
        </w:tc>
        <w:tc>
          <w:tcPr>
            <w:tcW w:type="dxa" w:w="2740"/>
            <w:vAlign w:val="center"/>
          </w:tcPr>
          <w:p>
            <w:pPr>
              <w:spacing w:line="240" w:lineRule="auto" w:after="40"/>
            </w:pPr>
            <w:r>
              <w:rPr>
                <w:rFonts w:ascii="Times New Roman" w:hAnsi="Times New Roman" w:eastAsia="Times New Roman"/>
                <w:sz w:val="20"/>
              </w:rPr>
              <w:t>Completed; depends on perceptual-hash threshold</w:t>
            </w:r>
          </w:p>
        </w:tc>
      </w:tr>
      <w:tr>
        <w:tc>
          <w:tcPr>
            <w:tcW w:type="dxa" w:w="2740"/>
            <w:vAlign w:val="center"/>
          </w:tcPr>
          <w:p>
            <w:pPr>
              <w:spacing w:line="240" w:lineRule="auto" w:after="40"/>
            </w:pPr>
            <w:r>
              <w:rPr>
                <w:rFonts w:ascii="Times New Roman" w:hAnsi="Times New Roman" w:eastAsia="Times New Roman"/>
                <w:sz w:val="20"/>
              </w:rPr>
              <w:t>Model evaluation</w:t>
            </w:r>
          </w:p>
        </w:tc>
        <w:tc>
          <w:tcPr>
            <w:tcW w:type="dxa" w:w="2740"/>
            <w:vAlign w:val="center"/>
          </w:tcPr>
          <w:p>
            <w:pPr>
              <w:spacing w:line="240" w:lineRule="auto" w:after="40"/>
            </w:pPr>
            <w:r>
              <w:rPr>
                <w:rFonts w:ascii="Times New Roman" w:hAnsi="Times New Roman" w:eastAsia="Times New Roman"/>
                <w:sz w:val="20"/>
              </w:rPr>
              <w:t>497 held-out test images and classification report</w:t>
            </w:r>
          </w:p>
        </w:tc>
        <w:tc>
          <w:tcPr>
            <w:tcW w:type="dxa" w:w="2740"/>
            <w:vAlign w:val="center"/>
          </w:tcPr>
          <w:p>
            <w:pPr>
              <w:spacing w:line="240" w:lineRule="auto" w:after="40"/>
            </w:pPr>
            <w:r>
              <w:rPr>
                <w:rFonts w:ascii="Times New Roman" w:hAnsi="Times New Roman" w:eastAsia="Times New Roman"/>
                <w:sz w:val="20"/>
              </w:rPr>
              <w:t>Completed</w:t>
            </w:r>
          </w:p>
        </w:tc>
      </w:tr>
      <w:tr>
        <w:tc>
          <w:tcPr>
            <w:tcW w:type="dxa" w:w="2740"/>
            <w:vAlign w:val="center"/>
          </w:tcPr>
          <w:p>
            <w:pPr>
              <w:spacing w:line="240" w:lineRule="auto" w:after="40"/>
            </w:pPr>
            <w:r>
              <w:rPr>
                <w:rFonts w:ascii="Times New Roman" w:hAnsi="Times New Roman" w:eastAsia="Times New Roman"/>
                <w:sz w:val="20"/>
              </w:rPr>
              <w:t>Model export</w:t>
            </w:r>
          </w:p>
        </w:tc>
        <w:tc>
          <w:tcPr>
            <w:tcW w:type="dxa" w:w="2740"/>
            <w:vAlign w:val="center"/>
          </w:tcPr>
          <w:p>
            <w:pPr>
              <w:spacing w:line="240" w:lineRule="auto" w:after="40"/>
            </w:pPr>
            <w:r>
              <w:rPr>
                <w:rFonts w:ascii="Times New Roman" w:hAnsi="Times New Roman" w:eastAsia="Times New Roman"/>
                <w:sz w:val="20"/>
              </w:rPr>
              <w:t>PTH, TorchScript and JSON configuration files</w:t>
            </w:r>
          </w:p>
        </w:tc>
        <w:tc>
          <w:tcPr>
            <w:tcW w:type="dxa" w:w="2740"/>
            <w:vAlign w:val="center"/>
          </w:tcPr>
          <w:p>
            <w:pPr>
              <w:spacing w:line="240" w:lineRule="auto" w:after="40"/>
            </w:pPr>
            <w:r>
              <w:rPr>
                <w:rFonts w:ascii="Times New Roman" w:hAnsi="Times New Roman" w:eastAsia="Times New Roman"/>
                <w:sz w:val="20"/>
              </w:rPr>
              <w:t>Completed in notebook</w:t>
            </w:r>
          </w:p>
        </w:tc>
      </w:tr>
      <w:tr>
        <w:tc>
          <w:tcPr>
            <w:tcW w:type="dxa" w:w="2740"/>
            <w:vAlign w:val="center"/>
          </w:tcPr>
          <w:p>
            <w:pPr>
              <w:spacing w:line="240" w:lineRule="auto" w:after="40"/>
            </w:pPr>
            <w:r>
              <w:rPr>
                <w:rFonts w:ascii="Times New Roman" w:hAnsi="Times New Roman" w:eastAsia="Times New Roman"/>
                <w:sz w:val="20"/>
              </w:rPr>
              <w:t>Pseudo-mask quality</w:t>
            </w:r>
          </w:p>
        </w:tc>
        <w:tc>
          <w:tcPr>
            <w:tcW w:type="dxa" w:w="2740"/>
            <w:vAlign w:val="center"/>
          </w:tcPr>
          <w:p>
            <w:pPr>
              <w:spacing w:line="240" w:lineRule="auto" w:after="40"/>
            </w:pPr>
            <w:r>
              <w:rPr>
                <w:rFonts w:ascii="Times New Roman" w:hAnsi="Times New Roman" w:eastAsia="Times New Roman"/>
                <w:sz w:val="20"/>
              </w:rPr>
              <w:t>Generated masks and qualitative examples</w:t>
            </w:r>
          </w:p>
        </w:tc>
        <w:tc>
          <w:tcPr>
            <w:tcW w:type="dxa" w:w="2740"/>
            <w:vAlign w:val="center"/>
          </w:tcPr>
          <w:p>
            <w:pPr>
              <w:spacing w:line="240" w:lineRule="auto" w:after="40"/>
            </w:pPr>
            <w:r>
              <w:rPr>
                <w:rFonts w:ascii="Times New Roman" w:hAnsi="Times New Roman" w:eastAsia="Times New Roman"/>
                <w:sz w:val="20"/>
              </w:rPr>
              <w:t>No ground-truth IoU/Dice</w:t>
            </w:r>
          </w:p>
        </w:tc>
      </w:tr>
      <w:tr>
        <w:tc>
          <w:tcPr>
            <w:tcW w:type="dxa" w:w="2740"/>
            <w:vAlign w:val="center"/>
          </w:tcPr>
          <w:p>
            <w:pPr>
              <w:spacing w:line="240" w:lineRule="auto" w:after="40"/>
            </w:pPr>
            <w:r>
              <w:rPr>
                <w:rFonts w:ascii="Times New Roman" w:hAnsi="Times New Roman" w:eastAsia="Times New Roman"/>
                <w:sz w:val="20"/>
              </w:rPr>
              <w:t>Severity validity</w:t>
            </w:r>
          </w:p>
        </w:tc>
        <w:tc>
          <w:tcPr>
            <w:tcW w:type="dxa" w:w="2740"/>
            <w:vAlign w:val="center"/>
          </w:tcPr>
          <w:p>
            <w:pPr>
              <w:spacing w:line="240" w:lineRule="auto" w:after="40"/>
            </w:pPr>
            <w:r>
              <w:rPr>
                <w:rFonts w:ascii="Times New Roman" w:hAnsi="Times New Roman" w:eastAsia="Times New Roman"/>
                <w:sz w:val="20"/>
              </w:rPr>
              <w:t>DSI scores and categories generated</w:t>
            </w:r>
          </w:p>
        </w:tc>
        <w:tc>
          <w:tcPr>
            <w:tcW w:type="dxa" w:w="2740"/>
            <w:vAlign w:val="center"/>
          </w:tcPr>
          <w:p>
            <w:pPr>
              <w:spacing w:line="240" w:lineRule="auto" w:after="40"/>
            </w:pPr>
            <w:r>
              <w:rPr>
                <w:rFonts w:ascii="Times New Roman" w:hAnsi="Times New Roman" w:eastAsia="Times New Roman"/>
                <w:sz w:val="20"/>
              </w:rPr>
              <w:t>No expert-labelled severity validation</w:t>
            </w:r>
          </w:p>
        </w:tc>
      </w:tr>
      <w:tr>
        <w:tc>
          <w:tcPr>
            <w:tcW w:type="dxa" w:w="2740"/>
            <w:vAlign w:val="center"/>
          </w:tcPr>
          <w:p>
            <w:pPr>
              <w:spacing w:line="240" w:lineRule="auto" w:after="40"/>
            </w:pPr>
            <w:r>
              <w:rPr>
                <w:rFonts w:ascii="Times New Roman" w:hAnsi="Times New Roman" w:eastAsia="Times New Roman"/>
                <w:sz w:val="20"/>
              </w:rPr>
              <w:t>Web API integration</w:t>
            </w:r>
          </w:p>
        </w:tc>
        <w:tc>
          <w:tcPr>
            <w:tcW w:type="dxa" w:w="2740"/>
            <w:vAlign w:val="center"/>
          </w:tcPr>
          <w:p>
            <w:pPr>
              <w:spacing w:line="240" w:lineRule="auto" w:after="40"/>
            </w:pPr>
            <w:r>
              <w:rPr>
                <w:rFonts w:ascii="Times New Roman" w:hAnsi="Times New Roman" w:eastAsia="Times New Roman"/>
                <w:sz w:val="20"/>
              </w:rPr>
              <w:t>Platform architecture described in group paper</w:t>
            </w:r>
          </w:p>
        </w:tc>
        <w:tc>
          <w:tcPr>
            <w:tcW w:type="dxa" w:w="2740"/>
            <w:vAlign w:val="center"/>
          </w:tcPr>
          <w:p>
            <w:pPr>
              <w:spacing w:line="240" w:lineRule="auto" w:after="40"/>
            </w:pPr>
            <w:r>
              <w:rPr>
                <w:rFonts w:ascii="Times New Roman" w:hAnsi="Times New Roman" w:eastAsia="Times New Roman"/>
                <w:sz w:val="20"/>
              </w:rPr>
              <w:t>Add project test evidence/screenshots before final submission</w:t>
            </w:r>
          </w:p>
        </w:tc>
      </w:tr>
      <w:tr>
        <w:tc>
          <w:tcPr>
            <w:tcW w:type="dxa" w:w="2740"/>
            <w:vAlign w:val="center"/>
          </w:tcPr>
          <w:p>
            <w:pPr>
              <w:spacing w:line="240" w:lineRule="auto" w:after="40"/>
            </w:pPr>
            <w:r>
              <w:rPr>
                <w:rFonts w:ascii="Times New Roman" w:hAnsi="Times New Roman" w:eastAsia="Times New Roman"/>
                <w:sz w:val="20"/>
              </w:rPr>
              <w:t>User acceptance</w:t>
            </w:r>
          </w:p>
        </w:tc>
        <w:tc>
          <w:tcPr>
            <w:tcW w:type="dxa" w:w="2740"/>
            <w:vAlign w:val="center"/>
          </w:tcPr>
          <w:p>
            <w:pPr>
              <w:spacing w:line="240" w:lineRule="auto" w:after="40"/>
            </w:pPr>
            <w:r>
              <w:rPr>
                <w:rFonts w:ascii="Times New Roman" w:hAnsi="Times New Roman" w:eastAsia="Times New Roman"/>
                <w:sz w:val="20"/>
              </w:rPr>
              <w:t>No formal user study reported</w:t>
            </w:r>
          </w:p>
        </w:tc>
        <w:tc>
          <w:tcPr>
            <w:tcW w:type="dxa" w:w="2740"/>
            <w:vAlign w:val="center"/>
          </w:tcPr>
          <w:p>
            <w:pPr>
              <w:spacing w:line="240" w:lineRule="auto" w:after="40"/>
            </w:pPr>
            <w:r>
              <w:rPr>
                <w:rFonts w:ascii="Times New Roman" w:hAnsi="Times New Roman" w:eastAsia="Times New Roman"/>
                <w:sz w:val="20"/>
              </w:rPr>
              <w:t>Not established by supplied materials</w:t>
            </w:r>
          </w:p>
        </w:tc>
      </w:tr>
    </w:tbl>
    <w:p>
      <w:pPr>
        <w:widowControl/>
      </w:pPr>
    </w:p>
    <w:p>
      <w:pPr>
        <w:pStyle w:val="Heading2"/>
        <w:widowControl/>
      </w:pPr>
      <w:r>
        <w:t>5.5 Deployment and operation</w:t>
      </w:r>
    </w:p>
    <w:p>
      <w:pPr>
        <w:widowControl/>
      </w:pPr>
      <w:r>
        <w:rPr>
          <w:rFonts w:ascii="Times New Roman" w:hAnsi="Times New Roman" w:eastAsia="Times New Roman"/>
          <w:i w:val="0"/>
          <w:sz w:val="24"/>
        </w:rPr>
        <w:t>The notebook exports a state dictionary named wclwd_efficientnet_b0_best.pth and a TorchScript file named wclwd_efficientnet_b0_best.pt. It also exports class_to_idx.json, abcd_config.json, abcd_calibration.json and model_metadata.json. The reported sizes are approximately 15.59 MB for the state dictionary and 16.11 MB for the TorchScript model. In deployment, the inference service must load the matching architecture, weights, class mapping and preprocessing configuration.</w:t>
      </w:r>
    </w:p>
    <w:p>
      <w:pPr>
        <w:widowControl/>
      </w:pPr>
      <w:r>
        <w:rPr>
          <w:rFonts w:ascii="Times New Roman" w:hAnsi="Times New Roman" w:eastAsia="Times New Roman"/>
          <w:i w:val="0"/>
          <w:sz w:val="24"/>
        </w:rPr>
        <w:t>Operational safeguards should include validating image file types and dimensions, handling unreadable images, logging model versions, returning a clear message when analysis fails, and communicating that DSI is experimental. Calibration JSON must be treated as part of the model version; mixing calibration values with a different model or dataset can change the interpretation of the severity output.</w:t>
      </w:r>
    </w:p>
    <w:p>
      <w:pPr>
        <w:pStyle w:val="Heading1"/>
        <w:widowControl/>
      </w:pPr>
      <w:r>
        <w:t>6 RESULTS AND VALIDATION</w:t>
      </w:r>
    </w:p>
    <w:p>
      <w:pPr>
        <w:pStyle w:val="Heading2"/>
        <w:widowControl/>
      </w:pPr>
      <w:r>
        <w:t>6.1 Research results</w:t>
      </w:r>
    </w:p>
    <w:p>
      <w:pPr>
        <w:pStyle w:val="Heading3"/>
        <w:widowControl/>
      </w:pPr>
      <w:r>
        <w:t>6.1.1 Training and validation</w:t>
      </w:r>
    </w:p>
    <w:p>
      <w:pPr>
        <w:widowControl/>
      </w:pPr>
      <w:r>
        <w:rPr>
          <w:rFonts w:ascii="Times New Roman" w:hAnsi="Times New Roman" w:eastAsia="Times New Roman"/>
          <w:i w:val="0"/>
          <w:sz w:val="24"/>
        </w:rPr>
        <w:t>The model was trained for 20 epochs. Training accuracy increased from 70.74% in epoch 1 to 99.80% in epoch 20. The best validation accuracy was 99.21% at epoch 18, with a validation loss of approximately 0.0259. The best validation checkpoint, rather than automatically using the final epoch, was retained for test evaluation.</w:t>
      </w:r>
    </w:p>
    <w:p>
      <w:pPr>
        <w:widowControl/>
        <w:spacing w:line="240" w:lineRule="auto"/>
        <w:jc w:val="center"/>
      </w:pPr>
      <w:r>
        <w:rPr>
          <w:rFonts w:ascii="Times New Roman" w:hAnsi="Times New Roman" w:eastAsia="Times New Roman"/>
          <w:b/>
          <w:sz w:val="20"/>
        </w:rPr>
        <w:t>Table 6.1. Selected training checkpoints</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Pr>
          <w:p>
            <w:r>
              <w:rPr>
                <w:rFonts w:ascii="Times New Roman" w:hAnsi="Times New Roman" w:eastAsia="Times New Roman"/>
                <w:b/>
                <w:sz w:val="20"/>
              </w:rPr>
              <w:t>Epoch</w:t>
            </w:r>
          </w:p>
        </w:tc>
        <w:tc>
          <w:tcPr>
            <w:tcW w:type="dxa" w:w="2055"/>
            <w:vAlign w:val="center"/>
          </w:tcPr>
          <w:p>
            <w:r>
              <w:rPr>
                <w:rFonts w:ascii="Times New Roman" w:hAnsi="Times New Roman" w:eastAsia="Times New Roman"/>
                <w:b/>
                <w:sz w:val="20"/>
              </w:rPr>
              <w:t>Training accuracy</w:t>
            </w:r>
          </w:p>
        </w:tc>
        <w:tc>
          <w:tcPr>
            <w:tcW w:type="dxa" w:w="2055"/>
            <w:vAlign w:val="center"/>
          </w:tcPr>
          <w:p>
            <w:r>
              <w:rPr>
                <w:rFonts w:ascii="Times New Roman" w:hAnsi="Times New Roman" w:eastAsia="Times New Roman"/>
                <w:b/>
                <w:sz w:val="20"/>
              </w:rPr>
              <w:t>Validation accuracy</w:t>
            </w:r>
          </w:p>
        </w:tc>
        <w:tc>
          <w:tcPr>
            <w:tcW w:type="dxa" w:w="2055"/>
            <w:vAlign w:val="center"/>
          </w:tcPr>
          <w:p>
            <w:r>
              <w:rPr>
                <w:rFonts w:ascii="Times New Roman" w:hAnsi="Times New Roman" w:eastAsia="Times New Roman"/>
                <w:b/>
                <w:sz w:val="20"/>
              </w:rPr>
              <w:t>Validation loss</w:t>
            </w:r>
          </w:p>
        </w:tc>
      </w:tr>
      <w:tr>
        <w:tc>
          <w:tcPr>
            <w:tcW w:type="dxa" w:w="2055"/>
            <w:vAlign w:val="center"/>
          </w:tcPr>
          <w:p>
            <w:pPr>
              <w:spacing w:line="240" w:lineRule="auto" w:after="40"/>
            </w:pPr>
            <w:r>
              <w:rPr>
                <w:rFonts w:ascii="Times New Roman" w:hAnsi="Times New Roman" w:eastAsia="Times New Roman"/>
                <w:sz w:val="20"/>
              </w:rPr>
              <w:t>1</w:t>
            </w:r>
          </w:p>
        </w:tc>
        <w:tc>
          <w:tcPr>
            <w:tcW w:type="dxa" w:w="2055"/>
            <w:vAlign w:val="center"/>
          </w:tcPr>
          <w:p>
            <w:pPr>
              <w:spacing w:line="240" w:lineRule="auto" w:after="40"/>
            </w:pPr>
            <w:r>
              <w:rPr>
                <w:rFonts w:ascii="Times New Roman" w:hAnsi="Times New Roman" w:eastAsia="Times New Roman"/>
                <w:sz w:val="20"/>
              </w:rPr>
              <w:t>70.74%</w:t>
            </w:r>
          </w:p>
        </w:tc>
        <w:tc>
          <w:tcPr>
            <w:tcW w:type="dxa" w:w="2055"/>
            <w:vAlign w:val="center"/>
          </w:tcPr>
          <w:p>
            <w:pPr>
              <w:spacing w:line="240" w:lineRule="auto" w:after="40"/>
            </w:pPr>
            <w:r>
              <w:rPr>
                <w:rFonts w:ascii="Times New Roman" w:hAnsi="Times New Roman" w:eastAsia="Times New Roman"/>
                <w:sz w:val="20"/>
              </w:rPr>
              <w:t>88.34%</w:t>
            </w:r>
          </w:p>
        </w:tc>
        <w:tc>
          <w:tcPr>
            <w:tcW w:type="dxa" w:w="2055"/>
            <w:vAlign w:val="center"/>
          </w:tcPr>
          <w:p>
            <w:pPr>
              <w:spacing w:line="240" w:lineRule="auto" w:after="40"/>
            </w:pPr>
            <w:r>
              <w:rPr>
                <w:rFonts w:ascii="Times New Roman" w:hAnsi="Times New Roman" w:eastAsia="Times New Roman"/>
                <w:sz w:val="20"/>
              </w:rPr>
              <w:t>0.3607</w:t>
            </w:r>
          </w:p>
        </w:tc>
      </w:tr>
      <w:tr>
        <w:tc>
          <w:tcPr>
            <w:tcW w:type="dxa" w:w="2055"/>
            <w:vAlign w:val="center"/>
          </w:tcPr>
          <w:p>
            <w:pPr>
              <w:spacing w:line="240" w:lineRule="auto" w:after="40"/>
            </w:pPr>
            <w:r>
              <w:rPr>
                <w:rFonts w:ascii="Times New Roman" w:hAnsi="Times New Roman" w:eastAsia="Times New Roman"/>
                <w:sz w:val="20"/>
              </w:rPr>
              <w:t>5</w:t>
            </w:r>
          </w:p>
        </w:tc>
        <w:tc>
          <w:tcPr>
            <w:tcW w:type="dxa" w:w="2055"/>
            <w:vAlign w:val="center"/>
          </w:tcPr>
          <w:p>
            <w:pPr>
              <w:spacing w:line="240" w:lineRule="auto" w:after="40"/>
            </w:pPr>
            <w:r>
              <w:rPr>
                <w:rFonts w:ascii="Times New Roman" w:hAnsi="Times New Roman" w:eastAsia="Times New Roman"/>
                <w:sz w:val="20"/>
              </w:rPr>
              <w:t>99.09%</w:t>
            </w:r>
          </w:p>
        </w:tc>
        <w:tc>
          <w:tcPr>
            <w:tcW w:type="dxa" w:w="2055"/>
            <w:vAlign w:val="center"/>
          </w:tcPr>
          <w:p>
            <w:pPr>
              <w:spacing w:line="240" w:lineRule="auto" w:after="40"/>
            </w:pPr>
            <w:r>
              <w:rPr>
                <w:rFonts w:ascii="Times New Roman" w:hAnsi="Times New Roman" w:eastAsia="Times New Roman"/>
                <w:sz w:val="20"/>
              </w:rPr>
              <w:t>97.63%</w:t>
            </w:r>
          </w:p>
        </w:tc>
        <w:tc>
          <w:tcPr>
            <w:tcW w:type="dxa" w:w="2055"/>
            <w:vAlign w:val="center"/>
          </w:tcPr>
          <w:p>
            <w:pPr>
              <w:spacing w:line="240" w:lineRule="auto" w:after="40"/>
            </w:pPr>
            <w:r>
              <w:rPr>
                <w:rFonts w:ascii="Times New Roman" w:hAnsi="Times New Roman" w:eastAsia="Times New Roman"/>
                <w:sz w:val="20"/>
              </w:rPr>
              <w:t>0.0661</w:t>
            </w:r>
          </w:p>
        </w:tc>
      </w:tr>
      <w:tr>
        <w:tc>
          <w:tcPr>
            <w:tcW w:type="dxa" w:w="2055"/>
            <w:vAlign w:val="center"/>
          </w:tcPr>
          <w:p>
            <w:pPr>
              <w:spacing w:line="240" w:lineRule="auto" w:after="40"/>
            </w:pPr>
            <w:r>
              <w:rPr>
                <w:rFonts w:ascii="Times New Roman" w:hAnsi="Times New Roman" w:eastAsia="Times New Roman"/>
                <w:sz w:val="20"/>
              </w:rPr>
              <w:t>9</w:t>
            </w:r>
          </w:p>
        </w:tc>
        <w:tc>
          <w:tcPr>
            <w:tcW w:type="dxa" w:w="2055"/>
            <w:vAlign w:val="center"/>
          </w:tcPr>
          <w:p>
            <w:pPr>
              <w:spacing w:line="240" w:lineRule="auto" w:after="40"/>
            </w:pPr>
            <w:r>
              <w:rPr>
                <w:rFonts w:ascii="Times New Roman" w:hAnsi="Times New Roman" w:eastAsia="Times New Roman"/>
                <w:sz w:val="20"/>
              </w:rPr>
              <w:t>99.83%</w:t>
            </w:r>
          </w:p>
        </w:tc>
        <w:tc>
          <w:tcPr>
            <w:tcW w:type="dxa" w:w="2055"/>
            <w:vAlign w:val="center"/>
          </w:tcPr>
          <w:p>
            <w:pPr>
              <w:spacing w:line="240" w:lineRule="auto" w:after="40"/>
            </w:pPr>
            <w:r>
              <w:rPr>
                <w:rFonts w:ascii="Times New Roman" w:hAnsi="Times New Roman" w:eastAsia="Times New Roman"/>
                <w:sz w:val="20"/>
              </w:rPr>
              <w:t>98.62%</w:t>
            </w:r>
          </w:p>
        </w:tc>
        <w:tc>
          <w:tcPr>
            <w:tcW w:type="dxa" w:w="2055"/>
            <w:vAlign w:val="center"/>
          </w:tcPr>
          <w:p>
            <w:pPr>
              <w:spacing w:line="240" w:lineRule="auto" w:after="40"/>
            </w:pPr>
            <w:r>
              <w:rPr>
                <w:rFonts w:ascii="Times New Roman" w:hAnsi="Times New Roman" w:eastAsia="Times New Roman"/>
                <w:sz w:val="20"/>
              </w:rPr>
              <w:t>0.0360</w:t>
            </w:r>
          </w:p>
        </w:tc>
      </w:tr>
      <w:tr>
        <w:tc>
          <w:tcPr>
            <w:tcW w:type="dxa" w:w="2055"/>
            <w:vAlign w:val="center"/>
          </w:tcPr>
          <w:p>
            <w:pPr>
              <w:spacing w:line="240" w:lineRule="auto" w:after="40"/>
            </w:pPr>
            <w:r>
              <w:rPr>
                <w:rFonts w:ascii="Times New Roman" w:hAnsi="Times New Roman" w:eastAsia="Times New Roman"/>
                <w:sz w:val="20"/>
              </w:rPr>
              <w:t>13</w:t>
            </w:r>
          </w:p>
        </w:tc>
        <w:tc>
          <w:tcPr>
            <w:tcW w:type="dxa" w:w="2055"/>
            <w:vAlign w:val="center"/>
          </w:tcPr>
          <w:p>
            <w:pPr>
              <w:spacing w:line="240" w:lineRule="auto" w:after="40"/>
            </w:pPr>
            <w:r>
              <w:rPr>
                <w:rFonts w:ascii="Times New Roman" w:hAnsi="Times New Roman" w:eastAsia="Times New Roman"/>
                <w:sz w:val="20"/>
              </w:rPr>
              <w:t>99.87%</w:t>
            </w:r>
          </w:p>
        </w:tc>
        <w:tc>
          <w:tcPr>
            <w:tcW w:type="dxa" w:w="2055"/>
            <w:vAlign w:val="center"/>
          </w:tcPr>
          <w:p>
            <w:pPr>
              <w:spacing w:line="240" w:lineRule="auto" w:after="40"/>
            </w:pPr>
            <w:r>
              <w:rPr>
                <w:rFonts w:ascii="Times New Roman" w:hAnsi="Times New Roman" w:eastAsia="Times New Roman"/>
                <w:sz w:val="20"/>
              </w:rPr>
              <w:t>99.01%</w:t>
            </w:r>
          </w:p>
        </w:tc>
        <w:tc>
          <w:tcPr>
            <w:tcW w:type="dxa" w:w="2055"/>
            <w:vAlign w:val="center"/>
          </w:tcPr>
          <w:p>
            <w:pPr>
              <w:spacing w:line="240" w:lineRule="auto" w:after="40"/>
            </w:pPr>
            <w:r>
              <w:rPr>
                <w:rFonts w:ascii="Times New Roman" w:hAnsi="Times New Roman" w:eastAsia="Times New Roman"/>
                <w:sz w:val="20"/>
              </w:rPr>
              <w:t>0.0292</w:t>
            </w:r>
          </w:p>
        </w:tc>
      </w:tr>
      <w:tr>
        <w:tc>
          <w:tcPr>
            <w:tcW w:type="dxa" w:w="2055"/>
            <w:vAlign w:val="center"/>
          </w:tcPr>
          <w:p>
            <w:pPr>
              <w:spacing w:line="240" w:lineRule="auto" w:after="40"/>
            </w:pPr>
            <w:r>
              <w:rPr>
                <w:rFonts w:ascii="Times New Roman" w:hAnsi="Times New Roman" w:eastAsia="Times New Roman"/>
                <w:sz w:val="20"/>
              </w:rPr>
              <w:t>18 (best validation)</w:t>
            </w:r>
          </w:p>
        </w:tc>
        <w:tc>
          <w:tcPr>
            <w:tcW w:type="dxa" w:w="2055"/>
            <w:vAlign w:val="center"/>
          </w:tcPr>
          <w:p>
            <w:pPr>
              <w:spacing w:line="240" w:lineRule="auto" w:after="40"/>
            </w:pPr>
            <w:r>
              <w:rPr>
                <w:rFonts w:ascii="Times New Roman" w:hAnsi="Times New Roman" w:eastAsia="Times New Roman"/>
                <w:sz w:val="20"/>
              </w:rPr>
              <w:t>99.90%</w:t>
            </w:r>
          </w:p>
        </w:tc>
        <w:tc>
          <w:tcPr>
            <w:tcW w:type="dxa" w:w="2055"/>
            <w:vAlign w:val="center"/>
          </w:tcPr>
          <w:p>
            <w:pPr>
              <w:spacing w:line="240" w:lineRule="auto" w:after="40"/>
            </w:pPr>
            <w:r>
              <w:rPr>
                <w:rFonts w:ascii="Times New Roman" w:hAnsi="Times New Roman" w:eastAsia="Times New Roman"/>
                <w:sz w:val="20"/>
              </w:rPr>
              <w:t>99.21%</w:t>
            </w:r>
          </w:p>
        </w:tc>
        <w:tc>
          <w:tcPr>
            <w:tcW w:type="dxa" w:w="2055"/>
            <w:vAlign w:val="center"/>
          </w:tcPr>
          <w:p>
            <w:pPr>
              <w:spacing w:line="240" w:lineRule="auto" w:after="40"/>
            </w:pPr>
            <w:r>
              <w:rPr>
                <w:rFonts w:ascii="Times New Roman" w:hAnsi="Times New Roman" w:eastAsia="Times New Roman"/>
                <w:sz w:val="20"/>
              </w:rPr>
              <w:t>0.0259</w:t>
            </w:r>
          </w:p>
        </w:tc>
      </w:tr>
      <w:tr>
        <w:tc>
          <w:tcPr>
            <w:tcW w:type="dxa" w:w="2055"/>
            <w:vAlign w:val="center"/>
          </w:tcPr>
          <w:p>
            <w:pPr>
              <w:spacing w:line="240" w:lineRule="auto" w:after="40"/>
            </w:pPr>
            <w:r>
              <w:rPr>
                <w:rFonts w:ascii="Times New Roman" w:hAnsi="Times New Roman" w:eastAsia="Times New Roman"/>
                <w:sz w:val="20"/>
              </w:rPr>
              <w:t>20</w:t>
            </w:r>
          </w:p>
        </w:tc>
        <w:tc>
          <w:tcPr>
            <w:tcW w:type="dxa" w:w="2055"/>
            <w:vAlign w:val="center"/>
          </w:tcPr>
          <w:p>
            <w:pPr>
              <w:spacing w:line="240" w:lineRule="auto" w:after="40"/>
            </w:pPr>
            <w:r>
              <w:rPr>
                <w:rFonts w:ascii="Times New Roman" w:hAnsi="Times New Roman" w:eastAsia="Times New Roman"/>
                <w:sz w:val="20"/>
              </w:rPr>
              <w:t>99.80%</w:t>
            </w:r>
          </w:p>
        </w:tc>
        <w:tc>
          <w:tcPr>
            <w:tcW w:type="dxa" w:w="2055"/>
            <w:vAlign w:val="center"/>
          </w:tcPr>
          <w:p>
            <w:pPr>
              <w:spacing w:line="240" w:lineRule="auto" w:after="40"/>
            </w:pPr>
            <w:r>
              <w:rPr>
                <w:rFonts w:ascii="Times New Roman" w:hAnsi="Times New Roman" w:eastAsia="Times New Roman"/>
                <w:sz w:val="20"/>
              </w:rPr>
              <w:t>98.81%</w:t>
            </w:r>
          </w:p>
        </w:tc>
        <w:tc>
          <w:tcPr>
            <w:tcW w:type="dxa" w:w="2055"/>
            <w:vAlign w:val="center"/>
          </w:tcPr>
          <w:p>
            <w:pPr>
              <w:spacing w:line="240" w:lineRule="auto" w:after="40"/>
            </w:pPr>
            <w:r>
              <w:rPr>
                <w:rFonts w:ascii="Times New Roman" w:hAnsi="Times New Roman" w:eastAsia="Times New Roman"/>
                <w:sz w:val="20"/>
              </w:rPr>
              <w:t>0.0277</w:t>
            </w:r>
          </w:p>
        </w:tc>
      </w:tr>
    </w:tbl>
    <w:p>
      <w:pPr>
        <w:widowControl/>
      </w:pPr>
    </w:p>
    <w:p>
      <w:pPr>
        <w:widowControl/>
      </w:pPr>
      <w:r>
        <w:rPr>
          <w:rFonts w:ascii="Times New Roman" w:hAnsi="Times New Roman" w:eastAsia="Times New Roman"/>
          <w:i w:val="0"/>
          <w:sz w:val="24"/>
        </w:rPr>
        <w:t>The training and validation results show strong performance on the selected dataset. Training accuracy is higher than validation accuracy, which is expected in many supervised learning settings and can indicate some degree of fitting to the training distribution. The group-based split and weight decay help reduce some risks but do not prove that overfitting or dataset dependence has been eliminated.</w:t>
      </w:r>
    </w:p>
    <w:p>
      <w:pPr>
        <w:pStyle w:val="Heading3"/>
        <w:widowControl/>
      </w:pPr>
      <w:r>
        <w:t>6.1.2 Held-out classification performance</w:t>
      </w:r>
    </w:p>
    <w:p>
      <w:pPr>
        <w:widowControl/>
      </w:pPr>
      <w:r>
        <w:rPr>
          <w:rFonts w:ascii="Times New Roman" w:hAnsi="Times New Roman" w:eastAsia="Times New Roman"/>
          <w:i w:val="0"/>
          <w:sz w:val="24"/>
        </w:rPr>
        <w:t>On the 497-image test set, the final model achieved 98.79% accuracy, 98.80% weighted precision, 98.79% weighted recall and 98.77% weighted F1-score. These results indicate strong classification performance for this dataset split. The performance should not be generalised automatically to images from different regions, devices, lighting conditions or disease distributions.</w:t>
      </w:r>
    </w:p>
    <w:p>
      <w:pPr>
        <w:widowControl/>
        <w:spacing w:line="240" w:lineRule="auto"/>
        <w:jc w:val="center"/>
      </w:pPr>
      <w:r>
        <w:rPr>
          <w:rFonts w:ascii="Times New Roman" w:hAnsi="Times New Roman" w:eastAsia="Times New Roman"/>
          <w:b/>
          <w:sz w:val="20"/>
        </w:rPr>
        <w:t>Table 6.2. Per-class test results</w:t>
      </w:r>
    </w:p>
    <w:tbl>
      <w:tblPr>
        <w:tblStyle w:val="TableGrid"/>
        <w:tblW w:type="auto" w:w="0"/>
        <w:jc w:val="center"/>
        <w:tblLook w:firstColumn="1" w:firstRow="1" w:lastColumn="0" w:lastRow="0" w:noHBand="0" w:noVBand="1" w:val="04A0"/>
      </w:tblPr>
      <w:tblGrid>
        <w:gridCol w:w="1644"/>
        <w:gridCol w:w="1644"/>
        <w:gridCol w:w="1644"/>
        <w:gridCol w:w="1644"/>
        <w:gridCol w:w="1644"/>
      </w:tblGrid>
      <w:tr>
        <w:tc>
          <w:tcPr>
            <w:tcW w:type="dxa" w:w="1644"/>
            <w:vAlign w:val="center"/>
          </w:tcPr>
          <w:p>
            <w:r>
              <w:rPr>
                <w:rFonts w:ascii="Times New Roman" w:hAnsi="Times New Roman" w:eastAsia="Times New Roman"/>
                <w:b/>
                <w:sz w:val="20"/>
              </w:rPr>
              <w:t>Class</w:t>
            </w:r>
          </w:p>
        </w:tc>
        <w:tc>
          <w:tcPr>
            <w:tcW w:type="dxa" w:w="1644"/>
            <w:vAlign w:val="center"/>
          </w:tcPr>
          <w:p>
            <w:r>
              <w:rPr>
                <w:rFonts w:ascii="Times New Roman" w:hAnsi="Times New Roman" w:eastAsia="Times New Roman"/>
                <w:b/>
                <w:sz w:val="20"/>
              </w:rPr>
              <w:t>Precision</w:t>
            </w:r>
          </w:p>
        </w:tc>
        <w:tc>
          <w:tcPr>
            <w:tcW w:type="dxa" w:w="1644"/>
            <w:vAlign w:val="center"/>
          </w:tcPr>
          <w:p>
            <w:r>
              <w:rPr>
                <w:rFonts w:ascii="Times New Roman" w:hAnsi="Times New Roman" w:eastAsia="Times New Roman"/>
                <w:b/>
                <w:sz w:val="20"/>
              </w:rPr>
              <w:t>Recall</w:t>
            </w:r>
          </w:p>
        </w:tc>
        <w:tc>
          <w:tcPr>
            <w:tcW w:type="dxa" w:w="1644"/>
            <w:vAlign w:val="center"/>
          </w:tcPr>
          <w:p>
            <w:r>
              <w:rPr>
                <w:rFonts w:ascii="Times New Roman" w:hAnsi="Times New Roman" w:eastAsia="Times New Roman"/>
                <w:b/>
                <w:sz w:val="20"/>
              </w:rPr>
              <w:t>F1-score</w:t>
            </w:r>
          </w:p>
        </w:tc>
        <w:tc>
          <w:tcPr>
            <w:tcW w:type="dxa" w:w="1644"/>
            <w:vAlign w:val="center"/>
          </w:tcPr>
          <w:p>
            <w:r>
              <w:rPr>
                <w:rFonts w:ascii="Times New Roman" w:hAnsi="Times New Roman" w:eastAsia="Times New Roman"/>
                <w:b/>
                <w:sz w:val="20"/>
              </w:rPr>
              <w:t>Support</w:t>
            </w:r>
          </w:p>
        </w:tc>
      </w:tr>
      <w:tr>
        <w:tc>
          <w:tcPr>
            <w:tcW w:type="dxa" w:w="1644"/>
            <w:vAlign w:val="center"/>
          </w:tcPr>
          <w:p>
            <w:pPr>
              <w:spacing w:line="240" w:lineRule="auto" w:after="40"/>
            </w:pPr>
            <w:r>
              <w:rPr>
                <w:rFonts w:ascii="Times New Roman" w:hAnsi="Times New Roman" w:eastAsia="Times New Roman"/>
                <w:sz w:val="20"/>
              </w:rPr>
              <w:t>Healthy Leaves</w:t>
            </w:r>
          </w:p>
        </w:tc>
        <w:tc>
          <w:tcPr>
            <w:tcW w:type="dxa" w:w="1644"/>
            <w:vAlign w:val="center"/>
          </w:tcPr>
          <w:p>
            <w:pPr>
              <w:spacing w:line="240" w:lineRule="auto" w:after="40"/>
            </w:pPr>
            <w:r>
              <w:rPr>
                <w:rFonts w:ascii="Times New Roman" w:hAnsi="Times New Roman" w:eastAsia="Times New Roman"/>
                <w:sz w:val="20"/>
              </w:rPr>
              <w:t>1.00</w:t>
            </w:r>
          </w:p>
        </w:tc>
        <w:tc>
          <w:tcPr>
            <w:tcW w:type="dxa" w:w="1644"/>
            <w:vAlign w:val="center"/>
          </w:tcPr>
          <w:p>
            <w:pPr>
              <w:spacing w:line="240" w:lineRule="auto" w:after="40"/>
            </w:pPr>
            <w:r>
              <w:rPr>
                <w:rFonts w:ascii="Times New Roman" w:hAnsi="Times New Roman" w:eastAsia="Times New Roman"/>
                <w:sz w:val="20"/>
              </w:rPr>
              <w:t>0.84</w:t>
            </w:r>
          </w:p>
        </w:tc>
        <w:tc>
          <w:tcPr>
            <w:tcW w:type="dxa" w:w="1644"/>
            <w:vAlign w:val="center"/>
          </w:tcPr>
          <w:p>
            <w:pPr>
              <w:spacing w:line="240" w:lineRule="auto" w:after="40"/>
            </w:pPr>
            <w:r>
              <w:rPr>
                <w:rFonts w:ascii="Times New Roman" w:hAnsi="Times New Roman" w:eastAsia="Times New Roman"/>
                <w:sz w:val="20"/>
              </w:rPr>
              <w:t>0.91</w:t>
            </w:r>
          </w:p>
        </w:tc>
        <w:tc>
          <w:tcPr>
            <w:tcW w:type="dxa" w:w="1644"/>
            <w:vAlign w:val="center"/>
          </w:tcPr>
          <w:p>
            <w:pPr>
              <w:spacing w:line="240" w:lineRule="auto" w:after="40"/>
            </w:pPr>
            <w:r>
              <w:rPr>
                <w:rFonts w:ascii="Times New Roman" w:hAnsi="Times New Roman" w:eastAsia="Times New Roman"/>
                <w:sz w:val="20"/>
              </w:rPr>
              <w:t>19</w:t>
            </w:r>
          </w:p>
        </w:tc>
      </w:tr>
      <w:tr>
        <w:tc>
          <w:tcPr>
            <w:tcW w:type="dxa" w:w="1644"/>
            <w:vAlign w:val="center"/>
          </w:tcPr>
          <w:p>
            <w:pPr>
              <w:spacing w:line="240" w:lineRule="auto" w:after="40"/>
            </w:pPr>
            <w:r>
              <w:rPr>
                <w:rFonts w:ascii="Times New Roman" w:hAnsi="Times New Roman" w:eastAsia="Times New Roman"/>
                <w:sz w:val="20"/>
              </w:rPr>
              <w:t>WCLWD Drying of Leaflets</w:t>
            </w:r>
          </w:p>
        </w:tc>
        <w:tc>
          <w:tcPr>
            <w:tcW w:type="dxa" w:w="1644"/>
            <w:vAlign w:val="center"/>
          </w:tcPr>
          <w:p>
            <w:pPr>
              <w:spacing w:line="240" w:lineRule="auto" w:after="40"/>
            </w:pPr>
            <w:r>
              <w:rPr>
                <w:rFonts w:ascii="Times New Roman" w:hAnsi="Times New Roman" w:eastAsia="Times New Roman"/>
                <w:sz w:val="20"/>
              </w:rPr>
              <w:t>0.99</w:t>
            </w:r>
          </w:p>
        </w:tc>
        <w:tc>
          <w:tcPr>
            <w:tcW w:type="dxa" w:w="1644"/>
            <w:vAlign w:val="center"/>
          </w:tcPr>
          <w:p>
            <w:pPr>
              <w:spacing w:line="240" w:lineRule="auto" w:after="40"/>
            </w:pPr>
            <w:r>
              <w:rPr>
                <w:rFonts w:ascii="Times New Roman" w:hAnsi="Times New Roman" w:eastAsia="Times New Roman"/>
                <w:sz w:val="20"/>
              </w:rPr>
              <w:t>1.00</w:t>
            </w:r>
          </w:p>
        </w:tc>
        <w:tc>
          <w:tcPr>
            <w:tcW w:type="dxa" w:w="1644"/>
            <w:vAlign w:val="center"/>
          </w:tcPr>
          <w:p>
            <w:pPr>
              <w:spacing w:line="240" w:lineRule="auto" w:after="40"/>
            </w:pPr>
            <w:r>
              <w:rPr>
                <w:rFonts w:ascii="Times New Roman" w:hAnsi="Times New Roman" w:eastAsia="Times New Roman"/>
                <w:sz w:val="20"/>
              </w:rPr>
              <w:t>0.99</w:t>
            </w:r>
          </w:p>
        </w:tc>
        <w:tc>
          <w:tcPr>
            <w:tcW w:type="dxa" w:w="1644"/>
            <w:vAlign w:val="center"/>
          </w:tcPr>
          <w:p>
            <w:pPr>
              <w:spacing w:line="240" w:lineRule="auto" w:after="40"/>
            </w:pPr>
            <w:r>
              <w:rPr>
                <w:rFonts w:ascii="Times New Roman" w:hAnsi="Times New Roman" w:eastAsia="Times New Roman"/>
                <w:sz w:val="20"/>
              </w:rPr>
              <w:t>176</w:t>
            </w:r>
          </w:p>
        </w:tc>
      </w:tr>
      <w:tr>
        <w:tc>
          <w:tcPr>
            <w:tcW w:type="dxa" w:w="1644"/>
            <w:vAlign w:val="center"/>
          </w:tcPr>
          <w:p>
            <w:pPr>
              <w:spacing w:line="240" w:lineRule="auto" w:after="40"/>
            </w:pPr>
            <w:r>
              <w:rPr>
                <w:rFonts w:ascii="Times New Roman" w:hAnsi="Times New Roman" w:eastAsia="Times New Roman"/>
                <w:sz w:val="20"/>
              </w:rPr>
              <w:t>WCLWD Flaccidity</w:t>
            </w:r>
          </w:p>
        </w:tc>
        <w:tc>
          <w:tcPr>
            <w:tcW w:type="dxa" w:w="1644"/>
            <w:vAlign w:val="center"/>
          </w:tcPr>
          <w:p>
            <w:pPr>
              <w:spacing w:line="240" w:lineRule="auto" w:after="40"/>
            </w:pPr>
            <w:r>
              <w:rPr>
                <w:rFonts w:ascii="Times New Roman" w:hAnsi="Times New Roman" w:eastAsia="Times New Roman"/>
                <w:sz w:val="20"/>
              </w:rPr>
              <w:t>0.98</w:t>
            </w:r>
          </w:p>
        </w:tc>
        <w:tc>
          <w:tcPr>
            <w:tcW w:type="dxa" w:w="1644"/>
            <w:vAlign w:val="center"/>
          </w:tcPr>
          <w:p>
            <w:pPr>
              <w:spacing w:line="240" w:lineRule="auto" w:after="40"/>
            </w:pPr>
            <w:r>
              <w:rPr>
                <w:rFonts w:ascii="Times New Roman" w:hAnsi="Times New Roman" w:eastAsia="Times New Roman"/>
                <w:sz w:val="20"/>
              </w:rPr>
              <w:t>0.99</w:t>
            </w:r>
          </w:p>
        </w:tc>
        <w:tc>
          <w:tcPr>
            <w:tcW w:type="dxa" w:w="1644"/>
            <w:vAlign w:val="center"/>
          </w:tcPr>
          <w:p>
            <w:pPr>
              <w:spacing w:line="240" w:lineRule="auto" w:after="40"/>
            </w:pPr>
            <w:r>
              <w:rPr>
                <w:rFonts w:ascii="Times New Roman" w:hAnsi="Times New Roman" w:eastAsia="Times New Roman"/>
                <w:sz w:val="20"/>
              </w:rPr>
              <w:t>0.99</w:t>
            </w:r>
          </w:p>
        </w:tc>
        <w:tc>
          <w:tcPr>
            <w:tcW w:type="dxa" w:w="1644"/>
            <w:vAlign w:val="center"/>
          </w:tcPr>
          <w:p>
            <w:pPr>
              <w:spacing w:line="240" w:lineRule="auto" w:after="40"/>
            </w:pPr>
            <w:r>
              <w:rPr>
                <w:rFonts w:ascii="Times New Roman" w:hAnsi="Times New Roman" w:eastAsia="Times New Roman"/>
                <w:sz w:val="20"/>
              </w:rPr>
              <w:t>155</w:t>
            </w:r>
          </w:p>
        </w:tc>
      </w:tr>
      <w:tr>
        <w:tc>
          <w:tcPr>
            <w:tcW w:type="dxa" w:w="1644"/>
            <w:vAlign w:val="center"/>
          </w:tcPr>
          <w:p>
            <w:pPr>
              <w:spacing w:line="240" w:lineRule="auto" w:after="40"/>
            </w:pPr>
            <w:r>
              <w:rPr>
                <w:rFonts w:ascii="Times New Roman" w:hAnsi="Times New Roman" w:eastAsia="Times New Roman"/>
                <w:sz w:val="20"/>
              </w:rPr>
              <w:t>WCLWD Yellowing</w:t>
            </w:r>
          </w:p>
        </w:tc>
        <w:tc>
          <w:tcPr>
            <w:tcW w:type="dxa" w:w="1644"/>
            <w:vAlign w:val="center"/>
          </w:tcPr>
          <w:p>
            <w:pPr>
              <w:spacing w:line="240" w:lineRule="auto" w:after="40"/>
            </w:pPr>
            <w:r>
              <w:rPr>
                <w:rFonts w:ascii="Times New Roman" w:hAnsi="Times New Roman" w:eastAsia="Times New Roman"/>
                <w:sz w:val="20"/>
              </w:rPr>
              <w:t>0.99</w:t>
            </w:r>
          </w:p>
        </w:tc>
        <w:tc>
          <w:tcPr>
            <w:tcW w:type="dxa" w:w="1644"/>
            <w:vAlign w:val="center"/>
          </w:tcPr>
          <w:p>
            <w:pPr>
              <w:spacing w:line="240" w:lineRule="auto" w:after="40"/>
            </w:pPr>
            <w:r>
              <w:rPr>
                <w:rFonts w:ascii="Times New Roman" w:hAnsi="Times New Roman" w:eastAsia="Times New Roman"/>
                <w:sz w:val="20"/>
              </w:rPr>
              <w:t>0.99</w:t>
            </w:r>
          </w:p>
        </w:tc>
        <w:tc>
          <w:tcPr>
            <w:tcW w:type="dxa" w:w="1644"/>
            <w:vAlign w:val="center"/>
          </w:tcPr>
          <w:p>
            <w:pPr>
              <w:spacing w:line="240" w:lineRule="auto" w:after="40"/>
            </w:pPr>
            <w:r>
              <w:rPr>
                <w:rFonts w:ascii="Times New Roman" w:hAnsi="Times New Roman" w:eastAsia="Times New Roman"/>
                <w:sz w:val="20"/>
              </w:rPr>
              <w:t>0.99</w:t>
            </w:r>
          </w:p>
        </w:tc>
        <w:tc>
          <w:tcPr>
            <w:tcW w:type="dxa" w:w="1644"/>
            <w:vAlign w:val="center"/>
          </w:tcPr>
          <w:p>
            <w:pPr>
              <w:spacing w:line="240" w:lineRule="auto" w:after="40"/>
            </w:pPr>
            <w:r>
              <w:rPr>
                <w:rFonts w:ascii="Times New Roman" w:hAnsi="Times New Roman" w:eastAsia="Times New Roman"/>
                <w:sz w:val="20"/>
              </w:rPr>
              <w:t>147</w:t>
            </w:r>
          </w:p>
        </w:tc>
      </w:tr>
      <w:tr>
        <w:tc>
          <w:tcPr>
            <w:tcW w:type="dxa" w:w="1644"/>
            <w:vAlign w:val="center"/>
          </w:tcPr>
          <w:p>
            <w:pPr>
              <w:spacing w:line="240" w:lineRule="auto" w:after="40"/>
            </w:pPr>
            <w:r>
              <w:rPr>
                <w:rFonts w:ascii="Times New Roman" w:hAnsi="Times New Roman" w:eastAsia="Times New Roman"/>
                <w:sz w:val="20"/>
              </w:rPr>
              <w:t>Macro average</w:t>
            </w:r>
          </w:p>
        </w:tc>
        <w:tc>
          <w:tcPr>
            <w:tcW w:type="dxa" w:w="1644"/>
            <w:vAlign w:val="center"/>
          </w:tcPr>
          <w:p>
            <w:pPr>
              <w:spacing w:line="240" w:lineRule="auto" w:after="40"/>
            </w:pPr>
            <w:r>
              <w:rPr>
                <w:rFonts w:ascii="Times New Roman" w:hAnsi="Times New Roman" w:eastAsia="Times New Roman"/>
                <w:sz w:val="20"/>
              </w:rPr>
              <w:t>0.99</w:t>
            </w:r>
          </w:p>
        </w:tc>
        <w:tc>
          <w:tcPr>
            <w:tcW w:type="dxa" w:w="1644"/>
            <w:vAlign w:val="center"/>
          </w:tcPr>
          <w:p>
            <w:pPr>
              <w:spacing w:line="240" w:lineRule="auto" w:after="40"/>
            </w:pPr>
            <w:r>
              <w:rPr>
                <w:rFonts w:ascii="Times New Roman" w:hAnsi="Times New Roman" w:eastAsia="Times New Roman"/>
                <w:sz w:val="20"/>
              </w:rPr>
              <w:t>0.96</w:t>
            </w:r>
          </w:p>
        </w:tc>
        <w:tc>
          <w:tcPr>
            <w:tcW w:type="dxa" w:w="1644"/>
            <w:vAlign w:val="center"/>
          </w:tcPr>
          <w:p>
            <w:pPr>
              <w:spacing w:line="240" w:lineRule="auto" w:after="40"/>
            </w:pPr>
            <w:r>
              <w:rPr>
                <w:rFonts w:ascii="Times New Roman" w:hAnsi="Times New Roman" w:eastAsia="Times New Roman"/>
                <w:sz w:val="20"/>
              </w:rPr>
              <w:t>0.97</w:t>
            </w:r>
          </w:p>
        </w:tc>
        <w:tc>
          <w:tcPr>
            <w:tcW w:type="dxa" w:w="1644"/>
            <w:vAlign w:val="center"/>
          </w:tcPr>
          <w:p>
            <w:pPr>
              <w:spacing w:line="240" w:lineRule="auto" w:after="40"/>
            </w:pPr>
            <w:r>
              <w:rPr>
                <w:rFonts w:ascii="Times New Roman" w:hAnsi="Times New Roman" w:eastAsia="Times New Roman"/>
                <w:sz w:val="20"/>
              </w:rPr>
              <w:t>497</w:t>
            </w:r>
          </w:p>
        </w:tc>
      </w:tr>
      <w:tr>
        <w:tc>
          <w:tcPr>
            <w:tcW w:type="dxa" w:w="1644"/>
            <w:vAlign w:val="center"/>
          </w:tcPr>
          <w:p>
            <w:pPr>
              <w:spacing w:line="240" w:lineRule="auto" w:after="40"/>
            </w:pPr>
            <w:r>
              <w:rPr>
                <w:rFonts w:ascii="Times New Roman" w:hAnsi="Times New Roman" w:eastAsia="Times New Roman"/>
                <w:sz w:val="20"/>
              </w:rPr>
              <w:t>Weighted average</w:t>
            </w:r>
          </w:p>
        </w:tc>
        <w:tc>
          <w:tcPr>
            <w:tcW w:type="dxa" w:w="1644"/>
            <w:vAlign w:val="center"/>
          </w:tcPr>
          <w:p>
            <w:pPr>
              <w:spacing w:line="240" w:lineRule="auto" w:after="40"/>
            </w:pPr>
            <w:r>
              <w:rPr>
                <w:rFonts w:ascii="Times New Roman" w:hAnsi="Times New Roman" w:eastAsia="Times New Roman"/>
                <w:sz w:val="20"/>
              </w:rPr>
              <w:t>0.99</w:t>
            </w:r>
          </w:p>
        </w:tc>
        <w:tc>
          <w:tcPr>
            <w:tcW w:type="dxa" w:w="1644"/>
            <w:vAlign w:val="center"/>
          </w:tcPr>
          <w:p>
            <w:pPr>
              <w:spacing w:line="240" w:lineRule="auto" w:after="40"/>
            </w:pPr>
            <w:r>
              <w:rPr>
                <w:rFonts w:ascii="Times New Roman" w:hAnsi="Times New Roman" w:eastAsia="Times New Roman"/>
                <w:sz w:val="20"/>
              </w:rPr>
              <w:t>0.99</w:t>
            </w:r>
          </w:p>
        </w:tc>
        <w:tc>
          <w:tcPr>
            <w:tcW w:type="dxa" w:w="1644"/>
            <w:vAlign w:val="center"/>
          </w:tcPr>
          <w:p>
            <w:pPr>
              <w:spacing w:line="240" w:lineRule="auto" w:after="40"/>
            </w:pPr>
            <w:r>
              <w:rPr>
                <w:rFonts w:ascii="Times New Roman" w:hAnsi="Times New Roman" w:eastAsia="Times New Roman"/>
                <w:sz w:val="20"/>
              </w:rPr>
              <w:t>0.99</w:t>
            </w:r>
          </w:p>
        </w:tc>
        <w:tc>
          <w:tcPr>
            <w:tcW w:type="dxa" w:w="1644"/>
            <w:vAlign w:val="center"/>
          </w:tcPr>
          <w:p>
            <w:pPr>
              <w:spacing w:line="240" w:lineRule="auto" w:after="40"/>
            </w:pPr>
            <w:r>
              <w:rPr>
                <w:rFonts w:ascii="Times New Roman" w:hAnsi="Times New Roman" w:eastAsia="Times New Roman"/>
                <w:sz w:val="20"/>
              </w:rPr>
              <w:t>497</w:t>
            </w:r>
          </w:p>
        </w:tc>
      </w:tr>
    </w:tbl>
    <w:p>
      <w:pPr>
        <w:widowControl/>
      </w:pPr>
    </w:p>
    <w:p>
      <w:pPr>
        <w:widowControl/>
      </w:pPr>
      <w:r>
        <w:rPr>
          <w:rFonts w:ascii="Times New Roman" w:hAnsi="Times New Roman" w:eastAsia="Times New Roman"/>
          <w:i w:val="0"/>
          <w:sz w:val="24"/>
        </w:rPr>
        <w:t>The healthy class has perfect precision in the reported classification report but lower recall of 0.84. This means some actual healthy examples were not identified as healthy. Since only 19 healthy images appear in the test set, the class-level estimate is based on a small sample and should be interpreted cautiously. The result supports reporting per-class metrics alongside overall accuracy.</w:t>
      </w:r>
    </w:p>
    <w:p>
      <w:pPr>
        <w:pStyle w:val="Heading3"/>
        <w:widowControl/>
      </w:pPr>
      <w:r>
        <w:t>6.1.3 Pseudo-segmentation and DSI</w:t>
      </w:r>
    </w:p>
    <w:p>
      <w:pPr>
        <w:widowControl/>
      </w:pPr>
      <w:r>
        <w:rPr>
          <w:rFonts w:ascii="Times New Roman" w:hAnsi="Times New Roman" w:eastAsia="Times New Roman"/>
          <w:i w:val="0"/>
          <w:sz w:val="24"/>
        </w:rPr>
        <w:t>The notebook generates pseudo-masks for predicted diseased images and computes the ABCD-inspired features and DSI. The group paper gives a qualitative WCLWD Yellowing example with asymmetry 39.4, border 53.2, colour 39.2, distribution 48.2, affected area 35.5% and a DSI of 42.5, mapped to Moderate. This is a demonstration of the calculation, not evidence of agreement with an expert severity assessment.</w:t>
      </w:r>
    </w:p>
    <w:p>
      <w:pPr>
        <w:widowControl/>
      </w:pPr>
      <w:r>
        <w:rPr>
          <w:rFonts w:ascii="Times New Roman" w:hAnsi="Times New Roman" w:eastAsia="Times New Roman"/>
          <w:i w:val="0"/>
          <w:sz w:val="24"/>
        </w:rPr>
        <w:t>The pipeline does not report IoU or Dice because no ground-truth segmentation masks are present. It also does not report sensitivity, specificity or agreement against expert severity labels. The DSI categories therefore represent the configured mathematical mapping only.</w:t>
      </w:r>
    </w:p>
    <w:p>
      <w:pPr>
        <w:pStyle w:val="Heading2"/>
        <w:widowControl/>
      </w:pPr>
      <w:r>
        <w:t>6.2 Product and technical results</w:t>
      </w:r>
    </w:p>
    <w:p>
      <w:pPr>
        <w:widowControl/>
      </w:pPr>
      <w:r>
        <w:rPr>
          <w:rFonts w:ascii="Times New Roman" w:hAnsi="Times New Roman" w:eastAsia="Times New Roman"/>
          <w:i w:val="0"/>
          <w:sz w:val="24"/>
        </w:rPr>
        <w:t>The final export package contains the EfficientNet-B0 state dictionary, TorchScript model, class mapping, ABCD configuration, calibration parameters and metadata. This is a useful deployment artefact because model weights and associated preprocessing/severity configuration can be versioned together. The notebook confirms export success, but deployment readiness also depends on compatibility testing within the live Flask inference service and web application.</w:t>
      </w:r>
    </w:p>
    <w:p>
      <w:pPr>
        <w:pStyle w:val="Heading2"/>
        <w:widowControl/>
      </w:pPr>
      <w:r>
        <w:t>6.3 User or stakeholder validation</w:t>
      </w:r>
    </w:p>
    <w:p>
      <w:pPr>
        <w:widowControl/>
      </w:pPr>
      <w:r>
        <w:rPr>
          <w:rFonts w:ascii="Times New Roman" w:hAnsi="Times New Roman" w:eastAsia="Times New Roman"/>
          <w:i w:val="0"/>
          <w:sz w:val="24"/>
        </w:rPr>
        <w:t>The supplied notebook and group research paper do not report a formal user study or a structured evaluation by coconut experts for this component. Therefore, no claim is made that farmers, extension officers or plant pathologists have validated the user interface or accepted the DSI categories. Stakeholder validation should be undertaken in future work using a defined protocol, representative users and documented feedback.</w:t>
      </w:r>
    </w:p>
    <w:p>
      <w:pPr>
        <w:pStyle w:val="Heading2"/>
        <w:widowControl/>
      </w:pPr>
      <w:r>
        <w:t>6.4 Integration results</w:t>
      </w:r>
    </w:p>
    <w:p>
      <w:pPr>
        <w:widowControl/>
      </w:pPr>
      <w:r>
        <w:rPr>
          <w:rFonts w:ascii="Times New Roman" w:hAnsi="Times New Roman" w:eastAsia="Times New Roman"/>
          <w:i w:val="0"/>
          <w:sz w:val="24"/>
        </w:rPr>
        <w:t>The group paper reports that the four modules were made available through a common web platform. For this individual component, the notebook establishes the exported model artefacts and configuration files. A final thesis version should include the exact screenshots, API test results and deployment evidence from the working project if these are available. Integration success should be supported by observed evidence, not inferred solely from the presence of model files.</w:t>
      </w:r>
    </w:p>
    <w:p>
      <w:pPr>
        <w:pStyle w:val="Heading2"/>
        <w:widowControl/>
      </w:pPr>
      <w:r>
        <w:t>6.5 Summary of findings</w:t>
      </w:r>
    </w:p>
    <w:p>
      <w:pPr>
        <w:pStyle w:val="ListBullet"/>
        <w:widowControl/>
        <w:spacing w:line="360" w:lineRule="auto"/>
      </w:pPr>
      <w:r>
        <w:rPr>
          <w:rFonts w:ascii="Times New Roman" w:hAnsi="Times New Roman" w:eastAsia="Times New Roman"/>
          <w:sz w:val="24"/>
        </w:rPr>
        <w:t>The final executable model is EfficientNet-B0 with four output classes.</w:t>
      </w:r>
    </w:p>
    <w:p>
      <w:pPr>
        <w:pStyle w:val="ListBullet"/>
        <w:widowControl/>
        <w:spacing w:line="360" w:lineRule="auto"/>
      </w:pPr>
      <w:r>
        <w:rPr>
          <w:rFonts w:ascii="Times New Roman" w:hAnsi="Times New Roman" w:eastAsia="Times New Roman"/>
          <w:sz w:val="24"/>
        </w:rPr>
        <w:t>The dataset contains 3,354 images and was partitioned into 2,351 training, 506 validation and 497 test images after perceptual-hash grouping.</w:t>
      </w:r>
    </w:p>
    <w:p>
      <w:pPr>
        <w:pStyle w:val="ListBullet"/>
        <w:widowControl/>
        <w:spacing w:line="360" w:lineRule="auto"/>
      </w:pPr>
      <w:r>
        <w:rPr>
          <w:rFonts w:ascii="Times New Roman" w:hAnsi="Times New Roman" w:eastAsia="Times New Roman"/>
          <w:sz w:val="24"/>
        </w:rPr>
        <w:t>The best validation accuracy was 99.21%, and held-out test accuracy was 98.79%.</w:t>
      </w:r>
    </w:p>
    <w:p>
      <w:pPr>
        <w:pStyle w:val="ListBullet"/>
        <w:widowControl/>
        <w:spacing w:line="360" w:lineRule="auto"/>
      </w:pPr>
      <w:r>
        <w:rPr>
          <w:rFonts w:ascii="Times New Roman" w:hAnsi="Times New Roman" w:eastAsia="Times New Roman"/>
          <w:sz w:val="24"/>
        </w:rPr>
        <w:t>Weighted test precision, recall and F1-score were 98.80%, 98.79% and 98.77%, respectively.</w:t>
      </w:r>
    </w:p>
    <w:p>
      <w:pPr>
        <w:pStyle w:val="ListBullet"/>
        <w:widowControl/>
        <w:spacing w:line="360" w:lineRule="auto"/>
      </w:pPr>
      <w:r>
        <w:rPr>
          <w:rFonts w:ascii="Times New Roman" w:hAnsi="Times New Roman" w:eastAsia="Times New Roman"/>
          <w:sz w:val="24"/>
        </w:rPr>
        <w:t>Healthy-class recall was lower at 0.84, and the test support for that class was only 19 images.</w:t>
      </w:r>
    </w:p>
    <w:p>
      <w:pPr>
        <w:pStyle w:val="ListBullet"/>
        <w:widowControl/>
        <w:spacing w:line="360" w:lineRule="auto"/>
      </w:pPr>
      <w:r>
        <w:rPr>
          <w:rFonts w:ascii="Times New Roman" w:hAnsi="Times New Roman" w:eastAsia="Times New Roman"/>
          <w:sz w:val="24"/>
        </w:rPr>
        <w:t>Grad-CAM, Otsu thresholding, GrabCut and morphological cleanup generated pseudo-masks, but mask quality was not assessed with IoU or Dice.</w:t>
      </w:r>
    </w:p>
    <w:p>
      <w:pPr>
        <w:pStyle w:val="ListBullet"/>
        <w:widowControl/>
        <w:spacing w:line="360" w:lineRule="auto"/>
      </w:pPr>
      <w:r>
        <w:rPr>
          <w:rFonts w:ascii="Times New Roman" w:hAnsi="Times New Roman" w:eastAsia="Times New Roman"/>
          <w:sz w:val="24"/>
        </w:rPr>
        <w:t>The ABCD-inspired DSI was implemented, but its weights, calibration and severity categories have not been validated against expert ratings.</w:t>
      </w:r>
    </w:p>
    <w:p>
      <w:pPr>
        <w:pStyle w:val="Heading1"/>
        <w:widowControl/>
      </w:pPr>
      <w:r>
        <w:t>7 DISCUSSION</w:t>
      </w:r>
    </w:p>
    <w:p>
      <w:pPr>
        <w:pStyle w:val="Heading2"/>
        <w:widowControl/>
      </w:pPr>
      <w:r>
        <w:t>7.1 Interpretation of findings</w:t>
      </w:r>
    </w:p>
    <w:p>
      <w:pPr>
        <w:widowControl/>
      </w:pPr>
      <w:r>
        <w:rPr>
          <w:rFonts w:ascii="Times New Roman" w:hAnsi="Times New Roman" w:eastAsia="Times New Roman"/>
          <w:i w:val="0"/>
          <w:sz w:val="24"/>
        </w:rPr>
        <w:t>The 98.79% test accuracy indicates that the final EfficientNet-B0 classifier distinguishes the four dataset labels effectively on the chosen group-separated test set. The performance is supported by high weighted precision, recall and F1-score. The group-based split is an important methodological improvement because the dataset includes many filenames suggesting augmented variants. However, perceptual hashes detect visual similarity according to a chosen threshold and cannot guarantee that every related source image has been identified.</w:t>
      </w:r>
    </w:p>
    <w:p>
      <w:pPr>
        <w:widowControl/>
      </w:pPr>
      <w:r>
        <w:rPr>
          <w:rFonts w:ascii="Times New Roman" w:hAnsi="Times New Roman" w:eastAsia="Times New Roman"/>
          <w:i w:val="0"/>
          <w:sz w:val="24"/>
        </w:rPr>
        <w:t>The lower healthy-class recall deserves attention. Overall accuracy is dominated by the three larger diseased classes, while the healthy class contributes only 19 test examples. The result suggests that the classifier may be more likely to miss some healthy examples than its aggregate score implies. Future work should collect more independent healthy images and report uncertainty intervals or repeated external evaluations.</w:t>
      </w:r>
    </w:p>
    <w:p>
      <w:pPr>
        <w:widowControl/>
      </w:pPr>
      <w:r>
        <w:rPr>
          <w:rFonts w:ascii="Times New Roman" w:hAnsi="Times New Roman" w:eastAsia="Times New Roman"/>
          <w:i w:val="0"/>
          <w:sz w:val="24"/>
        </w:rPr>
        <w:t>The pseudo-segmentation stage is valuable as an interpretability-oriented output, but it is downstream of the classifier. If Grad-CAM highlights a region that is discriminative but not identical to the diseased tissue, the pseudo-mask and all features derived from it may be inaccurate. Consequently, the DSI can be affected by classification errors, activation-map quality, segmentation heuristics, leaf-mask estimation and calibration bounds.</w:t>
      </w:r>
    </w:p>
    <w:p>
      <w:pPr>
        <w:pStyle w:val="Heading2"/>
        <w:widowControl/>
      </w:pPr>
      <w:r>
        <w:t>7.2 Comparison with literature baselines and existing solutions</w:t>
      </w:r>
    </w:p>
    <w:p>
      <w:pPr>
        <w:widowControl/>
      </w:pPr>
      <w:r>
        <w:rPr>
          <w:rFonts w:ascii="Times New Roman" w:hAnsi="Times New Roman" w:eastAsia="Times New Roman"/>
          <w:i w:val="0"/>
          <w:sz w:val="24"/>
        </w:rPr>
        <w:t>The group paper reports that prior work has examined deep-learning-based WCLWD diagnosis and severity assessment [2]. The current component differs in the specific combination of EfficientNet-B0 classification, Grad-CAM-guided pseudo-segmentation and an ABCD-inspired weighted index. A direct numerical comparison with published results would require matching datasets, class definitions, split strategies and evaluation protocols. Because those conditions are not established as equivalent, this thesis does not claim that its 98.79% score is superior to a published method.</w:t>
      </w:r>
    </w:p>
    <w:p>
      <w:pPr>
        <w:widowControl/>
      </w:pPr>
      <w:r>
        <w:rPr>
          <w:rFonts w:ascii="Times New Roman" w:hAnsi="Times New Roman" w:eastAsia="Times New Roman"/>
          <w:i w:val="0"/>
          <w:sz w:val="24"/>
        </w:rPr>
        <w:t>The current classifier result is also not directly comparable with the group project's other modules. Germplasm identification uses episodic accuracy, land utilisation uses object-detection mAP, and the disease-advisory classifier uses a different four-class dataset. Each metric measures a different task.</w:t>
      </w:r>
    </w:p>
    <w:p>
      <w:pPr>
        <w:pStyle w:val="Heading2"/>
        <w:widowControl/>
      </w:pPr>
      <w:r>
        <w:t>7.3 Research contribution</w:t>
      </w:r>
    </w:p>
    <w:p>
      <w:pPr>
        <w:widowControl/>
      </w:pPr>
      <w:r>
        <w:rPr>
          <w:rFonts w:ascii="Times New Roman" w:hAnsi="Times New Roman" w:eastAsia="Times New Roman"/>
          <w:i w:val="0"/>
          <w:sz w:val="24"/>
        </w:rPr>
        <w:t>The research contribution is an implemented and documented pipeline that connects four-class WCLWD classification with class-activation visualisation, pseudo-mask generation and a transparent computational severity formula. It also includes perceptual-hash-based grouping before data splitting and exports the model together with its configuration artefacts. The results provide preliminary evidence of classification feasibility while identifying the validation steps needed for the segmentation and severity stages.</w:t>
      </w:r>
    </w:p>
    <w:p>
      <w:pPr>
        <w:pStyle w:val="Heading2"/>
        <w:widowControl/>
      </w:pPr>
      <w:r>
        <w:t>7.4 Product contribution</w:t>
      </w:r>
    </w:p>
    <w:p>
      <w:pPr>
        <w:widowControl/>
      </w:pPr>
      <w:r>
        <w:rPr>
          <w:rFonts w:ascii="Times New Roman" w:hAnsi="Times New Roman" w:eastAsia="Times New Roman"/>
          <w:i w:val="0"/>
          <w:sz w:val="24"/>
        </w:rPr>
        <w:t>The product contribution is a WCLWD assessment workflow that can be exposed through the wider Coconut Diagnostics Suite. The intended user can submit a leaf image and receive a predicted class, visual indication of influential regions, an approximate pseudo-mask and a numerical severity category. This could help structure preliminary inspection and record-keeping, provided the interface clearly communicates limitations and the result is not treated as definitive agronomic advice.</w:t>
      </w:r>
    </w:p>
    <w:p>
      <w:pPr>
        <w:pStyle w:val="Heading2"/>
        <w:widowControl/>
      </w:pPr>
      <w:r>
        <w:t>7.5 Limitations and threats to validity</w:t>
      </w:r>
    </w:p>
    <w:p>
      <w:pPr>
        <w:pStyle w:val="ListBullet"/>
        <w:widowControl/>
        <w:spacing w:line="360" w:lineRule="auto"/>
      </w:pPr>
      <w:r>
        <w:rPr>
          <w:rFonts w:ascii="Times New Roman" w:hAnsi="Times New Roman" w:eastAsia="Times New Roman"/>
          <w:sz w:val="24"/>
        </w:rPr>
        <w:t>Dataset representativeness: the experiment uses a single public dataset subset, and no independently collected external test set is reported.</w:t>
      </w:r>
    </w:p>
    <w:p>
      <w:pPr>
        <w:pStyle w:val="ListBullet"/>
        <w:widowControl/>
        <w:spacing w:line="360" w:lineRule="auto"/>
      </w:pPr>
      <w:r>
        <w:rPr>
          <w:rFonts w:ascii="Times New Roman" w:hAnsi="Times New Roman" w:eastAsia="Times New Roman"/>
          <w:sz w:val="24"/>
        </w:rPr>
        <w:t>Class imbalance: the healthy class is substantially smaller than the three WCLWD classes; the held-out healthy recall is 0.84.</w:t>
      </w:r>
    </w:p>
    <w:p>
      <w:pPr>
        <w:pStyle w:val="ListBullet"/>
        <w:widowControl/>
        <w:spacing w:line="360" w:lineRule="auto"/>
      </w:pPr>
      <w:r>
        <w:rPr>
          <w:rFonts w:ascii="Times New Roman" w:hAnsi="Times New Roman" w:eastAsia="Times New Roman"/>
          <w:sz w:val="24"/>
        </w:rPr>
        <w:t>Near-duplicate detection: perceptual hashing reduces leakage risk but depends on the chosen Hamming-distance threshold and may miss some related images.</w:t>
      </w:r>
    </w:p>
    <w:p>
      <w:pPr>
        <w:pStyle w:val="ListBullet"/>
        <w:widowControl/>
        <w:spacing w:line="360" w:lineRule="auto"/>
      </w:pPr>
      <w:r>
        <w:rPr>
          <w:rFonts w:ascii="Times New Roman" w:hAnsi="Times New Roman" w:eastAsia="Times New Roman"/>
          <w:sz w:val="24"/>
        </w:rPr>
        <w:t>Pseudo-segmentation validity: no manual pixel-level ground truth is available, so IoU and Dice are not reported.</w:t>
      </w:r>
    </w:p>
    <w:p>
      <w:pPr>
        <w:pStyle w:val="ListBullet"/>
        <w:widowControl/>
        <w:spacing w:line="360" w:lineRule="auto"/>
      </w:pPr>
      <w:r>
        <w:rPr>
          <w:rFonts w:ascii="Times New Roman" w:hAnsi="Times New Roman" w:eastAsia="Times New Roman"/>
          <w:sz w:val="24"/>
        </w:rPr>
        <w:t>Severity validity: DSI weights and severity cut-offs are computational choices and have not been compared with expert ratings or disease progression outcomes.</w:t>
      </w:r>
    </w:p>
    <w:p>
      <w:pPr>
        <w:pStyle w:val="ListBullet"/>
        <w:widowControl/>
        <w:spacing w:line="360" w:lineRule="auto"/>
      </w:pPr>
      <w:r>
        <w:rPr>
          <w:rFonts w:ascii="Times New Roman" w:hAnsi="Times New Roman" w:eastAsia="Times New Roman"/>
          <w:sz w:val="24"/>
        </w:rPr>
        <w:t>Calibration leakage: the current notebook derives ABCD normalisation bounds from the observed test-set raw feature distribution, weakening the independence of DSI test summaries.</w:t>
      </w:r>
    </w:p>
    <w:p>
      <w:pPr>
        <w:pStyle w:val="ListBullet"/>
        <w:widowControl/>
        <w:spacing w:line="360" w:lineRule="auto"/>
      </w:pPr>
      <w:r>
        <w:rPr>
          <w:rFonts w:ascii="Times New Roman" w:hAnsi="Times New Roman" w:eastAsia="Times New Roman"/>
          <w:sz w:val="24"/>
        </w:rPr>
        <w:t>Leaf mask approximation: the leaf-vs-background mask is heuristic and can fail with varied backgrounds, lighting or framing.</w:t>
      </w:r>
    </w:p>
    <w:p>
      <w:pPr>
        <w:pStyle w:val="ListBullet"/>
        <w:widowControl/>
        <w:spacing w:line="360" w:lineRule="auto"/>
      </w:pPr>
      <w:r>
        <w:rPr>
          <w:rFonts w:ascii="Times New Roman" w:hAnsi="Times New Roman" w:eastAsia="Times New Roman"/>
          <w:sz w:val="24"/>
        </w:rPr>
        <w:t>Model confidence: softmax probability is not necessarily calibrated and does not establish biological certainty.</w:t>
      </w:r>
    </w:p>
    <w:p>
      <w:pPr>
        <w:pStyle w:val="ListBullet"/>
        <w:widowControl/>
        <w:spacing w:line="360" w:lineRule="auto"/>
      </w:pPr>
      <w:r>
        <w:rPr>
          <w:rFonts w:ascii="Times New Roman" w:hAnsi="Times New Roman" w:eastAsia="Times New Roman"/>
          <w:sz w:val="24"/>
        </w:rPr>
        <w:t>Implementation evidence: the notebook verifies model export but does not by itself establish complete API, user-acceptance or field validation.</w:t>
      </w:r>
    </w:p>
    <w:p>
      <w:pPr>
        <w:pStyle w:val="Heading2"/>
        <w:widowControl/>
      </w:pPr>
      <w:r>
        <w:t>7.6 Implications</w:t>
      </w:r>
    </w:p>
    <w:p>
      <w:pPr>
        <w:widowControl/>
      </w:pPr>
      <w:r>
        <w:rPr>
          <w:rFonts w:ascii="Times New Roman" w:hAnsi="Times New Roman" w:eastAsia="Times New Roman"/>
          <w:i w:val="0"/>
          <w:sz w:val="24"/>
        </w:rPr>
        <w:t>For research, the findings support further evaluation of an integrated classification and pseudo-segmentation workflow, but not immediate use of DSI as a validated severity standard. For product development, the result highlights the importance of transparent output labels, error handling and visual communication of uncertainty. For agricultural use, a practical next step is to collect expert-annotated masks and severity ratings from a representative sample and test whether the DSI correlates with independent agronomic assessment.</w:t>
      </w:r>
    </w:p>
    <w:p>
      <w:pPr>
        <w:pStyle w:val="Heading1"/>
        <w:widowControl/>
      </w:pPr>
      <w:r>
        <w:t>8 COMMERCIALISATION AND SUSTAINABILITY</w:t>
      </w:r>
    </w:p>
    <w:p>
      <w:pPr>
        <w:pStyle w:val="Heading2"/>
        <w:widowControl/>
      </w:pPr>
      <w:r>
        <w:t>8.1 Value proposition and target users</w:t>
      </w:r>
    </w:p>
    <w:p>
      <w:pPr>
        <w:widowControl/>
      </w:pPr>
      <w:r>
        <w:rPr>
          <w:rFonts w:ascii="Times New Roman" w:hAnsi="Times New Roman" w:eastAsia="Times New Roman"/>
          <w:i w:val="0"/>
          <w:sz w:val="24"/>
        </w:rPr>
        <w:t>The potential value proposition is a preliminary image-based screening and documentation tool that makes a consistent classification workflow more accessible. Potential users include coconut farmers, agricultural extension officers, researchers and plantation managers. The tool could support initial triage, record keeping and referral for expert assessment. It should not be marketed as a replacement for plant pathology testing or professional field judgement.</w:t>
      </w:r>
    </w:p>
    <w:p>
      <w:pPr>
        <w:pStyle w:val="Heading2"/>
        <w:widowControl/>
      </w:pPr>
      <w:r>
        <w:t>8.2 Market and competitive position</w:t>
      </w:r>
    </w:p>
    <w:p>
      <w:pPr>
        <w:widowControl/>
      </w:pPr>
      <w:r>
        <w:rPr>
          <w:rFonts w:ascii="Times New Roman" w:hAnsi="Times New Roman" w:eastAsia="Times New Roman"/>
          <w:i w:val="0"/>
          <w:sz w:val="24"/>
        </w:rPr>
        <w:t>A potential differentiator is the combination of predicted condition, Grad-CAM visualisation, pseudo-mask and a numerical severity indicator within a shared coconut-management platform. However, commercial competitiveness has not been established by market research, a comparison against commercial products or a user study. Before claiming a market advantage, the project team should assess alternatives, internet availability in target areas, usability, image-capture requirements and the cost of expert verification.</w:t>
      </w:r>
    </w:p>
    <w:p>
      <w:pPr>
        <w:pStyle w:val="Heading2"/>
        <w:widowControl/>
      </w:pPr>
      <w:r>
        <w:t>8.3 Business or sustainability model</w:t>
      </w:r>
    </w:p>
    <w:p>
      <w:pPr>
        <w:widowControl/>
      </w:pPr>
      <w:r>
        <w:rPr>
          <w:rFonts w:ascii="Times New Roman" w:hAnsi="Times New Roman" w:eastAsia="Times New Roman"/>
          <w:i w:val="0"/>
          <w:sz w:val="24"/>
        </w:rPr>
        <w:t>Possible deployment models include a research or extension-service tool, a free basic screening interface supported by institutional partners, or a managed service for plantations. These are options for future exploration rather than an adopted business model. A sustainable model would need to account for hosting, model maintenance, dataset updates, user support, security, translation and expert review.</w:t>
      </w:r>
    </w:p>
    <w:p>
      <w:pPr>
        <w:pStyle w:val="Heading2"/>
        <w:widowControl/>
      </w:pPr>
      <w:r>
        <w:t>8.4 Scalability intellectual property and compliance</w:t>
      </w:r>
    </w:p>
    <w:p>
      <w:pPr>
        <w:widowControl/>
      </w:pPr>
      <w:r>
        <w:rPr>
          <w:rFonts w:ascii="Times New Roman" w:hAnsi="Times New Roman" w:eastAsia="Times New Roman"/>
          <w:i w:val="0"/>
          <w:sz w:val="24"/>
        </w:rPr>
        <w:t>Scaling the component would require broader training data, external validation across locations and devices, monitoring of class distribution and periodic re-evaluation. The project should check the licence and attribution terms for the public dataset and all third-party software and model weights. Any deployment that stores uploaded images should define retention, access and deletion practices. The intellectual-property status of the integrated platform should be agreed by the project team and institution rather than assumed from the use of open-source libraries.</w:t>
      </w:r>
    </w:p>
    <w:p>
      <w:pPr>
        <w:pStyle w:val="Heading2"/>
        <w:widowControl/>
      </w:pPr>
      <w:r>
        <w:t>8.5 Contribution to the Sustainable Development Goals</w:t>
      </w:r>
    </w:p>
    <w:p>
      <w:pPr>
        <w:widowControl/>
      </w:pPr>
      <w:r>
        <w:rPr>
          <w:rFonts w:ascii="Times New Roman" w:hAnsi="Times New Roman" w:eastAsia="Times New Roman"/>
          <w:i w:val="0"/>
          <w:sz w:val="24"/>
        </w:rPr>
        <w:t>The component may support Sustainable Development Goal 2 (Zero Hunger) indirectly by contributing to crop-health information and earlier attention to possible disease symptoms. It may also relate to SDG 9 (Industry, Innovation and Infrastructure) through the application of digital tools to agriculture, and SDG 12 (Responsible Consumption and Production) through more informed crop-management decisions. These are potential contributions, not measured impacts. Demonstrating impact would require field deployment, adoption data and evidence of improved decisions or reduced losses.</w:t>
      </w:r>
    </w:p>
    <w:p>
      <w:pPr>
        <w:pStyle w:val="Heading1"/>
        <w:widowControl/>
      </w:pPr>
      <w:r>
        <w:t>9 CONCLUSION AND FUTURE DIRECTIONS</w:t>
      </w:r>
    </w:p>
    <w:p>
      <w:pPr>
        <w:pStyle w:val="Heading2"/>
        <w:widowControl/>
      </w:pPr>
      <w:r>
        <w:t>9.1 Conclusion</w:t>
      </w:r>
    </w:p>
    <w:p>
      <w:pPr>
        <w:widowControl/>
      </w:pPr>
      <w:r>
        <w:rPr>
          <w:rFonts w:ascii="Times New Roman" w:hAnsi="Times New Roman" w:eastAsia="Times New Roman"/>
          <w:i w:val="0"/>
          <w:sz w:val="24"/>
        </w:rPr>
        <w:t>This thesis documented an individual WCLWD assessment component combining image classification, visual explanation, weakly supervised pseudo-segmentation and a computational severity index. The final notebook uses a pretrained EfficientNet-B0 classifier to predict Healthy Leaves, WCLWD Drying of Leaflets, WCLWD Flaccidity and WCLWD Yellowing. It also implements Grad-CAM visualisation, an Otsu- and GrabCut-based pseudo-mask pipeline, ABCD-inspired feature extraction and a weighted DSI.</w:t>
      </w:r>
    </w:p>
    <w:p>
      <w:pPr>
        <w:widowControl/>
      </w:pPr>
      <w:r>
        <w:rPr>
          <w:rFonts w:ascii="Times New Roman" w:hAnsi="Times New Roman" w:eastAsia="Times New Roman"/>
          <w:i w:val="0"/>
          <w:sz w:val="24"/>
        </w:rPr>
        <w:t>The classifier achieved 99.21% best validation accuracy and 98.79% held-out test accuracy, with weighted precision of 98.80%, recall of 98.79% and F1-score of 98.77%. These results demonstrate strong performance on the selected dataset split. They do not, however, establish generalisation to new field conditions. Healthy-class recall was lower than the other class recalls, and the test set contained relatively few healthy images.</w:t>
      </w:r>
    </w:p>
    <w:p>
      <w:pPr>
        <w:widowControl/>
      </w:pPr>
      <w:r>
        <w:rPr>
          <w:rFonts w:ascii="Times New Roman" w:hAnsi="Times New Roman" w:eastAsia="Times New Roman"/>
          <w:i w:val="0"/>
          <w:sz w:val="24"/>
        </w:rPr>
        <w:t>The pseudo-segmentation and severity stages demonstrate a feasible computational workflow but remain preliminary. No expert pixel-level masks were used to evaluate segmentation, and no expert-assigned severity labels were available to validate the DSI. Furthermore, the current calibration procedure uses the observed test-set feature distribution. The correct conclusion is therefore that the component provides promising classification and experimental severity outputs that require further independent validation.</w:t>
      </w:r>
    </w:p>
    <w:p>
      <w:pPr>
        <w:pStyle w:val="Heading2"/>
        <w:widowControl/>
      </w:pPr>
      <w:r>
        <w:t>9.2 Achievement of objectives</w:t>
      </w:r>
    </w:p>
    <w:p>
      <w:pPr>
        <w:widowControl/>
        <w:spacing w:line="240" w:lineRule="auto"/>
        <w:jc w:val="center"/>
      </w:pPr>
      <w:r>
        <w:rPr>
          <w:rFonts w:ascii="Times New Roman" w:hAnsi="Times New Roman" w:eastAsia="Times New Roman"/>
          <w:b/>
          <w:sz w:val="20"/>
        </w:rPr>
        <w:t>Table 9.1. Summary of objective achievement</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Pr>
          <w:p>
            <w:r>
              <w:rPr>
                <w:rFonts w:ascii="Times New Roman" w:hAnsi="Times New Roman" w:eastAsia="Times New Roman"/>
                <w:b/>
                <w:sz w:val="20"/>
              </w:rPr>
              <w:t>Objective</w:t>
            </w:r>
          </w:p>
        </w:tc>
        <w:tc>
          <w:tcPr>
            <w:tcW w:type="dxa" w:w="2740"/>
            <w:vAlign w:val="center"/>
          </w:tcPr>
          <w:p>
            <w:r>
              <w:rPr>
                <w:rFonts w:ascii="Times New Roman" w:hAnsi="Times New Roman" w:eastAsia="Times New Roman"/>
                <w:b/>
                <w:sz w:val="20"/>
              </w:rPr>
              <w:t>Evidence</w:t>
            </w:r>
          </w:p>
        </w:tc>
        <w:tc>
          <w:tcPr>
            <w:tcW w:type="dxa" w:w="2740"/>
            <w:vAlign w:val="center"/>
          </w:tcPr>
          <w:p>
            <w:r>
              <w:rPr>
                <w:rFonts w:ascii="Times New Roman" w:hAnsi="Times New Roman" w:eastAsia="Times New Roman"/>
                <w:b/>
                <w:sz w:val="20"/>
              </w:rPr>
              <w:t>Status</w:t>
            </w:r>
          </w:p>
        </w:tc>
      </w:tr>
      <w:tr>
        <w:tc>
          <w:tcPr>
            <w:tcW w:type="dxa" w:w="2740"/>
            <w:vAlign w:val="center"/>
          </w:tcPr>
          <w:p>
            <w:pPr>
              <w:spacing w:line="240" w:lineRule="auto" w:after="40"/>
            </w:pPr>
            <w:r>
              <w:rPr>
                <w:rFonts w:ascii="Times New Roman" w:hAnsi="Times New Roman" w:eastAsia="Times New Roman"/>
                <w:sz w:val="20"/>
              </w:rPr>
              <w:t>Prepare dataset and reduce leakage risk</w:t>
            </w:r>
          </w:p>
        </w:tc>
        <w:tc>
          <w:tcPr>
            <w:tcW w:type="dxa" w:w="2740"/>
            <w:vAlign w:val="center"/>
          </w:tcPr>
          <w:p>
            <w:pPr>
              <w:spacing w:line="240" w:lineRule="auto" w:after="40"/>
            </w:pPr>
            <w:r>
              <w:rPr>
                <w:rFonts w:ascii="Times New Roman" w:hAnsi="Times New Roman" w:eastAsia="Times New Roman"/>
                <w:sz w:val="20"/>
              </w:rPr>
              <w:t>3,354 images, perceptual hashing and group split</w:t>
            </w:r>
          </w:p>
        </w:tc>
        <w:tc>
          <w:tcPr>
            <w:tcW w:type="dxa" w:w="2740"/>
            <w:vAlign w:val="center"/>
          </w:tcPr>
          <w:p>
            <w:pPr>
              <w:spacing w:line="240" w:lineRule="auto" w:after="40"/>
            </w:pPr>
            <w:r>
              <w:rPr>
                <w:rFonts w:ascii="Times New Roman" w:hAnsi="Times New Roman" w:eastAsia="Times New Roman"/>
                <w:sz w:val="20"/>
              </w:rPr>
              <w:t>Completed for selected dataset</w:t>
            </w:r>
          </w:p>
        </w:tc>
      </w:tr>
      <w:tr>
        <w:tc>
          <w:tcPr>
            <w:tcW w:type="dxa" w:w="2740"/>
            <w:vAlign w:val="center"/>
          </w:tcPr>
          <w:p>
            <w:pPr>
              <w:spacing w:line="240" w:lineRule="auto" w:after="40"/>
            </w:pPr>
            <w:r>
              <w:rPr>
                <w:rFonts w:ascii="Times New Roman" w:hAnsi="Times New Roman" w:eastAsia="Times New Roman"/>
                <w:sz w:val="20"/>
              </w:rPr>
              <w:t>Train four-class classifier</w:t>
            </w:r>
          </w:p>
        </w:tc>
        <w:tc>
          <w:tcPr>
            <w:tcW w:type="dxa" w:w="2740"/>
            <w:vAlign w:val="center"/>
          </w:tcPr>
          <w:p>
            <w:pPr>
              <w:spacing w:line="240" w:lineRule="auto" w:after="40"/>
            </w:pPr>
            <w:r>
              <w:rPr>
                <w:rFonts w:ascii="Times New Roman" w:hAnsi="Times New Roman" w:eastAsia="Times New Roman"/>
                <w:sz w:val="20"/>
              </w:rPr>
              <w:t>EfficientNet-B0, 20 epochs</w:t>
            </w:r>
          </w:p>
        </w:tc>
        <w:tc>
          <w:tcPr>
            <w:tcW w:type="dxa" w:w="2740"/>
            <w:vAlign w:val="center"/>
          </w:tcPr>
          <w:p>
            <w:pPr>
              <w:spacing w:line="240" w:lineRule="auto" w:after="40"/>
            </w:pPr>
            <w:r>
              <w:rPr>
                <w:rFonts w:ascii="Times New Roman" w:hAnsi="Times New Roman" w:eastAsia="Times New Roman"/>
                <w:sz w:val="20"/>
              </w:rPr>
              <w:t>Completed</w:t>
            </w:r>
          </w:p>
        </w:tc>
      </w:tr>
      <w:tr>
        <w:tc>
          <w:tcPr>
            <w:tcW w:type="dxa" w:w="2740"/>
            <w:vAlign w:val="center"/>
          </w:tcPr>
          <w:p>
            <w:pPr>
              <w:spacing w:line="240" w:lineRule="auto" w:after="40"/>
            </w:pPr>
            <w:r>
              <w:rPr>
                <w:rFonts w:ascii="Times New Roman" w:hAnsi="Times New Roman" w:eastAsia="Times New Roman"/>
                <w:sz w:val="20"/>
              </w:rPr>
              <w:t>Evaluate classification</w:t>
            </w:r>
          </w:p>
        </w:tc>
        <w:tc>
          <w:tcPr>
            <w:tcW w:type="dxa" w:w="2740"/>
            <w:vAlign w:val="center"/>
          </w:tcPr>
          <w:p>
            <w:pPr>
              <w:spacing w:line="240" w:lineRule="auto" w:after="40"/>
            </w:pPr>
            <w:r>
              <w:rPr>
                <w:rFonts w:ascii="Times New Roman" w:hAnsi="Times New Roman" w:eastAsia="Times New Roman"/>
                <w:sz w:val="20"/>
              </w:rPr>
              <w:t>98.79% test accuracy; weighted P/R/F1 reported</w:t>
            </w:r>
          </w:p>
        </w:tc>
        <w:tc>
          <w:tcPr>
            <w:tcW w:type="dxa" w:w="2740"/>
            <w:vAlign w:val="center"/>
          </w:tcPr>
          <w:p>
            <w:pPr>
              <w:spacing w:line="240" w:lineRule="auto" w:after="40"/>
            </w:pPr>
            <w:r>
              <w:rPr>
                <w:rFonts w:ascii="Times New Roman" w:hAnsi="Times New Roman" w:eastAsia="Times New Roman"/>
                <w:sz w:val="20"/>
              </w:rPr>
              <w:t>Completed on held-out split</w:t>
            </w:r>
          </w:p>
        </w:tc>
      </w:tr>
      <w:tr>
        <w:tc>
          <w:tcPr>
            <w:tcW w:type="dxa" w:w="2740"/>
            <w:vAlign w:val="center"/>
          </w:tcPr>
          <w:p>
            <w:pPr>
              <w:spacing w:line="240" w:lineRule="auto" w:after="40"/>
            </w:pPr>
            <w:r>
              <w:rPr>
                <w:rFonts w:ascii="Times New Roman" w:hAnsi="Times New Roman" w:eastAsia="Times New Roman"/>
                <w:sz w:val="20"/>
              </w:rPr>
              <w:t>Generate Grad-CAM and pseudo-masks</w:t>
            </w:r>
          </w:p>
        </w:tc>
        <w:tc>
          <w:tcPr>
            <w:tcW w:type="dxa" w:w="2740"/>
            <w:vAlign w:val="center"/>
          </w:tcPr>
          <w:p>
            <w:pPr>
              <w:spacing w:line="240" w:lineRule="auto" w:after="40"/>
            </w:pPr>
            <w:r>
              <w:rPr>
                <w:rFonts w:ascii="Times New Roman" w:hAnsi="Times New Roman" w:eastAsia="Times New Roman"/>
                <w:sz w:val="20"/>
              </w:rPr>
              <w:t>CAM, Otsu, GrabCut and morphology pipeline</w:t>
            </w:r>
          </w:p>
        </w:tc>
        <w:tc>
          <w:tcPr>
            <w:tcW w:type="dxa" w:w="2740"/>
            <w:vAlign w:val="center"/>
          </w:tcPr>
          <w:p>
            <w:pPr>
              <w:spacing w:line="240" w:lineRule="auto" w:after="40"/>
            </w:pPr>
            <w:r>
              <w:rPr>
                <w:rFonts w:ascii="Times New Roman" w:hAnsi="Times New Roman" w:eastAsia="Times New Roman"/>
                <w:sz w:val="20"/>
              </w:rPr>
              <w:t>Implemented; not ground-truth validated</w:t>
            </w:r>
          </w:p>
        </w:tc>
      </w:tr>
      <w:tr>
        <w:tc>
          <w:tcPr>
            <w:tcW w:type="dxa" w:w="2740"/>
            <w:vAlign w:val="center"/>
          </w:tcPr>
          <w:p>
            <w:pPr>
              <w:spacing w:line="240" w:lineRule="auto" w:after="40"/>
            </w:pPr>
            <w:r>
              <w:rPr>
                <w:rFonts w:ascii="Times New Roman" w:hAnsi="Times New Roman" w:eastAsia="Times New Roman"/>
                <w:sz w:val="20"/>
              </w:rPr>
              <w:t>Calculate ABCD-inspired DSI</w:t>
            </w:r>
          </w:p>
        </w:tc>
        <w:tc>
          <w:tcPr>
            <w:tcW w:type="dxa" w:w="2740"/>
            <w:vAlign w:val="center"/>
          </w:tcPr>
          <w:p>
            <w:pPr>
              <w:spacing w:line="240" w:lineRule="auto" w:after="40"/>
            </w:pPr>
            <w:r>
              <w:rPr>
                <w:rFonts w:ascii="Times New Roman" w:hAnsi="Times New Roman" w:eastAsia="Times New Roman"/>
                <w:sz w:val="20"/>
              </w:rPr>
              <w:t>Weighted feature score and four categories</w:t>
            </w:r>
          </w:p>
        </w:tc>
        <w:tc>
          <w:tcPr>
            <w:tcW w:type="dxa" w:w="2740"/>
            <w:vAlign w:val="center"/>
          </w:tcPr>
          <w:p>
            <w:pPr>
              <w:spacing w:line="240" w:lineRule="auto" w:after="40"/>
            </w:pPr>
            <w:r>
              <w:rPr>
                <w:rFonts w:ascii="Times New Roman" w:hAnsi="Times New Roman" w:eastAsia="Times New Roman"/>
                <w:sz w:val="20"/>
              </w:rPr>
              <w:t>Implemented; not expert validated</w:t>
            </w:r>
          </w:p>
        </w:tc>
      </w:tr>
      <w:tr>
        <w:tc>
          <w:tcPr>
            <w:tcW w:type="dxa" w:w="2740"/>
            <w:vAlign w:val="center"/>
          </w:tcPr>
          <w:p>
            <w:pPr>
              <w:spacing w:line="240" w:lineRule="auto" w:after="40"/>
            </w:pPr>
            <w:r>
              <w:rPr>
                <w:rFonts w:ascii="Times New Roman" w:hAnsi="Times New Roman" w:eastAsia="Times New Roman"/>
                <w:sz w:val="20"/>
              </w:rPr>
              <w:t>Export deployment artefacts</w:t>
            </w:r>
          </w:p>
        </w:tc>
        <w:tc>
          <w:tcPr>
            <w:tcW w:type="dxa" w:w="2740"/>
            <w:vAlign w:val="center"/>
          </w:tcPr>
          <w:p>
            <w:pPr>
              <w:spacing w:line="240" w:lineRule="auto" w:after="40"/>
            </w:pPr>
            <w:r>
              <w:rPr>
                <w:rFonts w:ascii="Times New Roman" w:hAnsi="Times New Roman" w:eastAsia="Times New Roman"/>
                <w:sz w:val="20"/>
              </w:rPr>
              <w:t>PTH, TorchScript and JSON configuration</w:t>
            </w:r>
          </w:p>
        </w:tc>
        <w:tc>
          <w:tcPr>
            <w:tcW w:type="dxa" w:w="2740"/>
            <w:vAlign w:val="center"/>
          </w:tcPr>
          <w:p>
            <w:pPr>
              <w:spacing w:line="240" w:lineRule="auto" w:after="40"/>
            </w:pPr>
            <w:r>
              <w:rPr>
                <w:rFonts w:ascii="Times New Roman" w:hAnsi="Times New Roman" w:eastAsia="Times New Roman"/>
                <w:sz w:val="20"/>
              </w:rPr>
              <w:t>Completed in notebook</w:t>
            </w:r>
          </w:p>
        </w:tc>
      </w:tr>
      <w:tr>
        <w:tc>
          <w:tcPr>
            <w:tcW w:type="dxa" w:w="2740"/>
            <w:vAlign w:val="center"/>
          </w:tcPr>
          <w:p>
            <w:pPr>
              <w:spacing w:line="240" w:lineRule="auto" w:after="40"/>
            </w:pPr>
            <w:r>
              <w:rPr>
                <w:rFonts w:ascii="Times New Roman" w:hAnsi="Times New Roman" w:eastAsia="Times New Roman"/>
                <w:sz w:val="20"/>
              </w:rPr>
              <w:t>Validate agronomic severity</w:t>
            </w:r>
          </w:p>
        </w:tc>
        <w:tc>
          <w:tcPr>
            <w:tcW w:type="dxa" w:w="2740"/>
            <w:vAlign w:val="center"/>
          </w:tcPr>
          <w:p>
            <w:pPr>
              <w:spacing w:line="240" w:lineRule="auto" w:after="40"/>
            </w:pPr>
            <w:r>
              <w:rPr>
                <w:rFonts w:ascii="Times New Roman" w:hAnsi="Times New Roman" w:eastAsia="Times New Roman"/>
                <w:sz w:val="20"/>
              </w:rPr>
              <w:t>No expert ratings in supplied experiment</w:t>
            </w:r>
          </w:p>
        </w:tc>
        <w:tc>
          <w:tcPr>
            <w:tcW w:type="dxa" w:w="2740"/>
            <w:vAlign w:val="center"/>
          </w:tcPr>
          <w:p>
            <w:pPr>
              <w:spacing w:line="240" w:lineRule="auto" w:after="40"/>
            </w:pPr>
            <w:r>
              <w:rPr>
                <w:rFonts w:ascii="Times New Roman" w:hAnsi="Times New Roman" w:eastAsia="Times New Roman"/>
                <w:sz w:val="20"/>
              </w:rPr>
              <w:t>Not completed</w:t>
            </w:r>
          </w:p>
        </w:tc>
      </w:tr>
    </w:tbl>
    <w:p>
      <w:pPr>
        <w:widowControl/>
      </w:pPr>
    </w:p>
    <w:p>
      <w:pPr>
        <w:pStyle w:val="Heading2"/>
        <w:widowControl/>
      </w:pPr>
      <w:r>
        <w:t>9.3 Individual research and product contributions</w:t>
      </w:r>
    </w:p>
    <w:p>
      <w:pPr>
        <w:widowControl/>
      </w:pPr>
      <w:r>
        <w:rPr>
          <w:rFonts w:ascii="Times New Roman" w:hAnsi="Times New Roman" w:eastAsia="Times New Roman"/>
          <w:i w:val="0"/>
          <w:sz w:val="24"/>
        </w:rPr>
        <w:t>The individual research contribution consists of the data preparation and group-based splitting workflow, EfficientNet-B0 training and evaluation, Grad-CAM visualisation, pseudo-mask refinement, ABCD-inspired feature extraction, DSI calculation and deployment export. The product contribution is the WCLWD assessment module intended to operate within the wider four-component web platform. This contribution statement should be reconciled with the supervisor-approved allocation of tasks and the final group's implementation evidence.</w:t>
      </w:r>
    </w:p>
    <w:p>
      <w:pPr>
        <w:pStyle w:val="Heading2"/>
        <w:widowControl/>
      </w:pPr>
      <w:r>
        <w:t>9.4 Future directions</w:t>
      </w:r>
    </w:p>
    <w:p>
      <w:pPr>
        <w:pStyle w:val="ListNumber"/>
        <w:widowControl/>
        <w:spacing w:line="360" w:lineRule="auto"/>
      </w:pPr>
      <w:r>
        <w:rPr>
          <w:rFonts w:ascii="Times New Roman" w:hAnsi="Times New Roman" w:eastAsia="Times New Roman"/>
          <w:sz w:val="24"/>
        </w:rPr>
        <w:t>Collect a larger, more balanced dataset with independent healthy images and samples from multiple locations, devices, seasons and field conditions.</w:t>
      </w:r>
    </w:p>
    <w:p>
      <w:pPr>
        <w:pStyle w:val="ListNumber"/>
        <w:widowControl/>
        <w:spacing w:line="360" w:lineRule="auto"/>
      </w:pPr>
      <w:r>
        <w:rPr>
          <w:rFonts w:ascii="Times New Roman" w:hAnsi="Times New Roman" w:eastAsia="Times New Roman"/>
          <w:sz w:val="24"/>
        </w:rPr>
        <w:t>Retain source-image identifiers and use source-level grouping where available, in addition to perceptual hashing.</w:t>
      </w:r>
    </w:p>
    <w:p>
      <w:pPr>
        <w:pStyle w:val="ListNumber"/>
        <w:widowControl/>
        <w:spacing w:line="360" w:lineRule="auto"/>
      </w:pPr>
      <w:r>
        <w:rPr>
          <w:rFonts w:ascii="Times New Roman" w:hAnsi="Times New Roman" w:eastAsia="Times New Roman"/>
          <w:sz w:val="24"/>
        </w:rPr>
        <w:t>Fit DSI calibration bounds on training or validation data only, freeze them before test evaluation and document the calibration protocol.</w:t>
      </w:r>
    </w:p>
    <w:p>
      <w:pPr>
        <w:pStyle w:val="ListNumber"/>
        <w:widowControl/>
        <w:spacing w:line="360" w:lineRule="auto"/>
      </w:pPr>
      <w:r>
        <w:rPr>
          <w:rFonts w:ascii="Times New Roman" w:hAnsi="Times New Roman" w:eastAsia="Times New Roman"/>
          <w:sz w:val="24"/>
        </w:rPr>
        <w:t>Obtain expert-annotated lesion masks for a representative subset and report IoU, Dice and qualitative agreement.</w:t>
      </w:r>
    </w:p>
    <w:p>
      <w:pPr>
        <w:pStyle w:val="ListNumber"/>
        <w:widowControl/>
        <w:spacing w:line="360" w:lineRule="auto"/>
      </w:pPr>
      <w:r>
        <w:rPr>
          <w:rFonts w:ascii="Times New Roman" w:hAnsi="Times New Roman" w:eastAsia="Times New Roman"/>
          <w:sz w:val="24"/>
        </w:rPr>
        <w:t>Obtain expert-assigned severity ratings and test correlation, agreement and category-level performance against those ratings.</w:t>
      </w:r>
    </w:p>
    <w:p>
      <w:pPr>
        <w:pStyle w:val="ListNumber"/>
        <w:widowControl/>
        <w:spacing w:line="360" w:lineRule="auto"/>
      </w:pPr>
      <w:r>
        <w:rPr>
          <w:rFonts w:ascii="Times New Roman" w:hAnsi="Times New Roman" w:eastAsia="Times New Roman"/>
          <w:sz w:val="24"/>
        </w:rPr>
        <w:t>Evaluate the model on an independent external test set and examine class-specific uncertainty and calibration.</w:t>
      </w:r>
    </w:p>
    <w:p>
      <w:pPr>
        <w:pStyle w:val="ListNumber"/>
        <w:widowControl/>
        <w:spacing w:line="360" w:lineRule="auto"/>
      </w:pPr>
      <w:r>
        <w:rPr>
          <w:rFonts w:ascii="Times New Roman" w:hAnsi="Times New Roman" w:eastAsia="Times New Roman"/>
          <w:sz w:val="24"/>
        </w:rPr>
        <w:t>Conduct usability and stakeholder testing with farmers, extension officers and coconut research specialists.</w:t>
      </w:r>
    </w:p>
    <w:p>
      <w:pPr>
        <w:pStyle w:val="ListNumber"/>
        <w:widowControl/>
        <w:spacing w:line="360" w:lineRule="auto"/>
      </w:pPr>
      <w:r>
        <w:rPr>
          <w:rFonts w:ascii="Times New Roman" w:hAnsi="Times New Roman" w:eastAsia="Times New Roman"/>
          <w:sz w:val="24"/>
        </w:rPr>
        <w:t>Add automated API tests, failure-mode tests, inference-time measurements and deployment monitoring.</w:t>
      </w:r>
    </w:p>
    <w:p>
      <w:pPr>
        <w:pStyle w:val="ListNumber"/>
        <w:widowControl/>
        <w:spacing w:line="360" w:lineRule="auto"/>
      </w:pPr>
      <w:r>
        <w:rPr>
          <w:rFonts w:ascii="Times New Roman" w:hAnsi="Times New Roman" w:eastAsia="Times New Roman"/>
          <w:sz w:val="24"/>
        </w:rPr>
        <w:t>Consider a reject/uncertain outcome when images are low quality, outside the training distribution or unsuitable for interpretation.</w:t>
      </w:r>
    </w:p>
    <w:p>
      <w:pPr>
        <w:pStyle w:val="ListNumber"/>
        <w:widowControl/>
        <w:spacing w:line="360" w:lineRule="auto"/>
      </w:pPr>
      <w:r>
        <w:rPr>
          <w:rFonts w:ascii="Times New Roman" w:hAnsi="Times New Roman" w:eastAsia="Times New Roman"/>
          <w:sz w:val="24"/>
        </w:rPr>
        <w:t>Document dataset licensing, model versioning, privacy practices and safe communication of recommendations.</w:t>
      </w:r>
    </w:p>
    <w:p>
      <w:pPr>
        <w:pStyle w:val="Heading1"/>
        <w:widowControl/>
      </w:pPr>
      <w:r>
        <w:t>REFERENCES</w:t>
      </w:r>
    </w:p>
    <w:p>
      <w:pPr>
        <w:widowControl/>
        <w:spacing w:line="240" w:lineRule="auto" w:after="200"/>
      </w:pPr>
      <w:r>
        <w:rPr>
          <w:rFonts w:ascii="Times New Roman" w:hAnsi="Times New Roman" w:eastAsia="Times New Roman"/>
          <w:sz w:val="22"/>
        </w:rPr>
        <w:t>[1] P. R. De Silva, C. N. Perera, B. W. Bahder, and R. N. Attanayake, “Nested PCR-based rapid detection of phytoplasma leaf wilt disease of coconut in Sri Lanka and systemic movement of the pathogen,” Pathogens, vol. 12, no. 2, p. 294, 2023, doi: 10.3390/pathogens12020294.</w:t>
      </w:r>
    </w:p>
    <w:p>
      <w:pPr>
        <w:widowControl/>
        <w:spacing w:line="240" w:lineRule="auto" w:after="200"/>
      </w:pPr>
      <w:r>
        <w:rPr>
          <w:rFonts w:ascii="Times New Roman" w:hAnsi="Times New Roman" w:eastAsia="Times New Roman"/>
          <w:sz w:val="22"/>
        </w:rPr>
        <w:t>[2] S. Vidhanaarachchi, J. L. Wijekoon, W. A. S. P. Abeysiriwardhana, and M. Wijesundara, “Early diagnosis and severity assessment of Weligama coconut leaf wilt disease and coconut caterpillar infestation using deep learning-based image processing techniques,” IEEE Access, vol. 13, pp. 24463–24477, 2025, doi: 10.1109/ACCESS.2025.3537664.</w:t>
      </w:r>
    </w:p>
    <w:p>
      <w:pPr>
        <w:widowControl/>
        <w:spacing w:line="240" w:lineRule="auto" w:after="200"/>
      </w:pPr>
      <w:r>
        <w:rPr>
          <w:rFonts w:ascii="Times New Roman" w:hAnsi="Times New Roman" w:eastAsia="Times New Roman"/>
          <w:sz w:val="22"/>
        </w:rPr>
        <w:t>[3] M. Tan and Q. V. Le, “EfficientNet: Rethinking model scaling for convolutional neural networks,” in Proc. 36th International Conference on Machine Learning, 2019, pp. 6105–6114. [Online]. Available: https://arxiv.org/abs/1905.11946</w:t>
      </w:r>
    </w:p>
    <w:p>
      <w:pPr>
        <w:widowControl/>
        <w:spacing w:line="240" w:lineRule="auto" w:after="200"/>
      </w:pPr>
      <w:r>
        <w:rPr>
          <w:rFonts w:ascii="Times New Roman" w:hAnsi="Times New Roman" w:eastAsia="Times New Roman"/>
          <w:sz w:val="22"/>
        </w:rPr>
        <w:t>[4] R. R. Selvaraju et al., “Grad-CAM: Visual explanations from deep networks via gradient-based localization,” in Proc. IEEE International Conference on Computer Vision, 2017, pp. 618–626, doi: 10.1109/ICCV.2017.74.</w:t>
      </w:r>
    </w:p>
    <w:p>
      <w:pPr>
        <w:widowControl/>
        <w:spacing w:line="240" w:lineRule="auto" w:after="200"/>
      </w:pPr>
      <w:r>
        <w:rPr>
          <w:rFonts w:ascii="Times New Roman" w:hAnsi="Times New Roman" w:eastAsia="Times New Roman"/>
          <w:sz w:val="22"/>
        </w:rPr>
        <w:t>[5] N. Otsu, “A threshold selection method from gray-level histograms,” IEEE Transactions on Systems, Man, and Cybernetics, vol. 9, no. 1, pp. 62–66, 1979, doi: 10.1109/TSMC.1979.4310076.</w:t>
      </w:r>
    </w:p>
    <w:p>
      <w:pPr>
        <w:widowControl/>
        <w:spacing w:line="240" w:lineRule="auto" w:after="200"/>
      </w:pPr>
      <w:r>
        <w:rPr>
          <w:rFonts w:ascii="Times New Roman" w:hAnsi="Times New Roman" w:eastAsia="Times New Roman"/>
          <w:sz w:val="22"/>
        </w:rPr>
        <w:t>[6] C. Rother, V. Kolmogorov, and A. Blake, “GrabCut: Interactive foreground extraction using iterated graph cuts,” ACM Transactions on Graphics, vol. 23, no. 3, pp. 309–314, 2004, doi: 10.1145/1015706.1015720.</w:t>
      </w:r>
    </w:p>
    <w:p>
      <w:pPr>
        <w:widowControl/>
        <w:spacing w:line="240" w:lineRule="auto" w:after="200"/>
      </w:pPr>
      <w:r>
        <w:rPr>
          <w:rFonts w:ascii="Times New Roman" w:hAnsi="Times New Roman" w:eastAsia="Times New Roman"/>
          <w:sz w:val="22"/>
        </w:rPr>
        <w:t>[7] S. Vidhanaarachchi et al., “Coconut Diseases and Pest Infestations,” Kaggle dataset, available: https://www.kaggle.com/datasets/samitha96/coconutdiseases. Accessed: [insert actual access date].</w:t>
      </w:r>
    </w:p>
    <w:p>
      <w:pPr>
        <w:widowControl/>
        <w:spacing w:line="240" w:lineRule="auto" w:after="200"/>
      </w:pPr>
      <w:r>
        <w:rPr>
          <w:rFonts w:ascii="Times New Roman" w:hAnsi="Times New Roman" w:eastAsia="Times New Roman"/>
          <w:sz w:val="22"/>
        </w:rPr>
        <w:t>[8] J. Deng et al., “ImageNet: A large-scale hierarchical image database,” in Proc. IEEE Conference on Computer Vision and Pattern Recognition, 2009, pp. 248–255, doi: 10.1109/CVPR.2009.5206848.</w:t>
      </w:r>
    </w:p>
    <w:p>
      <w:pPr>
        <w:pStyle w:val="Heading1"/>
        <w:widowControl/>
      </w:pPr>
      <w:r>
        <w:t>GLOSSARY</w:t>
      </w:r>
    </w:p>
    <w:p>
      <w:pPr>
        <w:widowControl/>
      </w:pPr>
      <w:r>
        <w:rPr>
          <w:rFonts w:ascii="Times New Roman" w:hAnsi="Times New Roman" w:eastAsia="Times New Roman"/>
          <w:i w:val="0"/>
          <w:sz w:val="24"/>
        </w:rPr>
        <w:t>Activation map — A spatial map indicating regions associated with a model's class prediction.</w:t>
      </w:r>
    </w:p>
    <w:p>
      <w:pPr>
        <w:widowControl/>
      </w:pPr>
      <w:r>
        <w:rPr>
          <w:rFonts w:ascii="Times New Roman" w:hAnsi="Times New Roman" w:eastAsia="Times New Roman"/>
          <w:i w:val="0"/>
          <w:sz w:val="24"/>
        </w:rPr>
        <w:t>Calibration bounds — Lower and upper feature values used to map raw measurements onto a common scale.</w:t>
      </w:r>
    </w:p>
    <w:p>
      <w:pPr>
        <w:widowControl/>
      </w:pPr>
      <w:r>
        <w:rPr>
          <w:rFonts w:ascii="Times New Roman" w:hAnsi="Times New Roman" w:eastAsia="Times New Roman"/>
          <w:i w:val="0"/>
          <w:sz w:val="24"/>
        </w:rPr>
        <w:t>Class imbalance — A dataset condition in which some classes contain substantially more examples than others.</w:t>
      </w:r>
    </w:p>
    <w:p>
      <w:pPr>
        <w:widowControl/>
      </w:pPr>
      <w:r>
        <w:rPr>
          <w:rFonts w:ascii="Times New Roman" w:hAnsi="Times New Roman" w:eastAsia="Times New Roman"/>
          <w:i w:val="0"/>
          <w:sz w:val="24"/>
        </w:rPr>
        <w:t>Grad-CAM — A gradient-based method for visualising image regions influential to a selected class score.</w:t>
      </w:r>
    </w:p>
    <w:p>
      <w:pPr>
        <w:widowControl/>
      </w:pPr>
      <w:r>
        <w:rPr>
          <w:rFonts w:ascii="Times New Roman" w:hAnsi="Times New Roman" w:eastAsia="Times New Roman"/>
          <w:i w:val="0"/>
          <w:sz w:val="24"/>
        </w:rPr>
        <w:t>Near-duplicate grouping — Grouping images that are visually similar according to a perceptual-hash distance rule.</w:t>
      </w:r>
    </w:p>
    <w:p>
      <w:pPr>
        <w:widowControl/>
      </w:pPr>
      <w:r>
        <w:rPr>
          <w:rFonts w:ascii="Times New Roman" w:hAnsi="Times New Roman" w:eastAsia="Times New Roman"/>
          <w:i w:val="0"/>
          <w:sz w:val="24"/>
        </w:rPr>
        <w:t>Pseudo-mask — An approximate segmentation generated by an algorithm rather than supplied as a manually annotated ground truth.</w:t>
      </w:r>
    </w:p>
    <w:p>
      <w:pPr>
        <w:widowControl/>
      </w:pPr>
      <w:r>
        <w:rPr>
          <w:rFonts w:ascii="Times New Roman" w:hAnsi="Times New Roman" w:eastAsia="Times New Roman"/>
          <w:i w:val="0"/>
          <w:sz w:val="24"/>
        </w:rPr>
        <w:t>Transfer learning — Adapting a model pretrained on one task or dataset to a different target task.</w:t>
      </w:r>
    </w:p>
    <w:p>
      <w:pPr>
        <w:widowControl/>
      </w:pPr>
      <w:r>
        <w:rPr>
          <w:rFonts w:ascii="Times New Roman" w:hAnsi="Times New Roman" w:eastAsia="Times New Roman"/>
          <w:i w:val="0"/>
          <w:sz w:val="24"/>
        </w:rPr>
        <w:t>Weighted F1-score — An F1-score averaged across classes with weights based on class support.</w:t>
      </w:r>
    </w:p>
    <w:p>
      <w:pPr>
        <w:pStyle w:val="Heading1"/>
        <w:widowControl/>
      </w:pPr>
      <w:r>
        <w:t>APPENDICES</w:t>
      </w:r>
    </w:p>
    <w:p>
      <w:pPr>
        <w:pStyle w:val="Heading2"/>
        <w:widowControl/>
      </w:pPr>
      <w:r>
        <w:t>Appendix A: Extended results and implementation settings</w:t>
      </w:r>
    </w:p>
    <w:p>
      <w:pPr>
        <w:widowControl/>
      </w:pPr>
      <w:r>
        <w:rPr>
          <w:rFonts w:ascii="Times New Roman" w:hAnsi="Times New Roman" w:eastAsia="Times New Roman"/>
          <w:i w:val="0"/>
          <w:sz w:val="24"/>
        </w:rPr>
        <w:t>The following values are transcribed from the supplied final notebook. Confirm them against the final execution output before submission.</w:t>
      </w:r>
    </w:p>
    <w:p>
      <w:pPr>
        <w:widowControl/>
        <w:spacing w:line="240" w:lineRule="auto"/>
        <w:jc w:val="center"/>
      </w:pPr>
      <w:r>
        <w:rPr>
          <w:rFonts w:ascii="Times New Roman" w:hAnsi="Times New Roman" w:eastAsia="Times New Roman"/>
          <w:b/>
          <w:sz w:val="20"/>
        </w:rPr>
        <w:t>Table A.1. Dataset split class counts</w:t>
      </w:r>
    </w:p>
    <w:tbl>
      <w:tblPr>
        <w:tblStyle w:val="TableGrid"/>
        <w:tblW w:type="auto" w:w="0"/>
        <w:jc w:val="center"/>
        <w:tblLook w:firstColumn="1" w:firstRow="1" w:lastColumn="0" w:lastRow="0" w:noHBand="0" w:noVBand="1" w:val="04A0"/>
      </w:tblPr>
      <w:tblGrid>
        <w:gridCol w:w="2055"/>
        <w:gridCol w:w="2055"/>
        <w:gridCol w:w="2055"/>
        <w:gridCol w:w="2055"/>
      </w:tblGrid>
      <w:tr>
        <w:tc>
          <w:tcPr>
            <w:tcW w:type="dxa" w:w="2055"/>
            <w:vAlign w:val="center"/>
          </w:tcPr>
          <w:p>
            <w:r>
              <w:rPr>
                <w:rFonts w:ascii="Times New Roman" w:hAnsi="Times New Roman" w:eastAsia="Times New Roman"/>
                <w:b/>
                <w:sz w:val="20"/>
              </w:rPr>
              <w:t>Class</w:t>
            </w:r>
          </w:p>
        </w:tc>
        <w:tc>
          <w:tcPr>
            <w:tcW w:type="dxa" w:w="2055"/>
            <w:vAlign w:val="center"/>
          </w:tcPr>
          <w:p>
            <w:r>
              <w:rPr>
                <w:rFonts w:ascii="Times New Roman" w:hAnsi="Times New Roman" w:eastAsia="Times New Roman"/>
                <w:b/>
                <w:sz w:val="20"/>
              </w:rPr>
              <w:t>Training (after oversampling)</w:t>
            </w:r>
          </w:p>
        </w:tc>
        <w:tc>
          <w:tcPr>
            <w:tcW w:type="dxa" w:w="2055"/>
            <w:vAlign w:val="center"/>
          </w:tcPr>
          <w:p>
            <w:r>
              <w:rPr>
                <w:rFonts w:ascii="Times New Roman" w:hAnsi="Times New Roman" w:eastAsia="Times New Roman"/>
                <w:b/>
                <w:sz w:val="20"/>
              </w:rPr>
              <w:t>Validation</w:t>
            </w:r>
          </w:p>
        </w:tc>
        <w:tc>
          <w:tcPr>
            <w:tcW w:type="dxa" w:w="2055"/>
            <w:vAlign w:val="center"/>
          </w:tcPr>
          <w:p>
            <w:r>
              <w:rPr>
                <w:rFonts w:ascii="Times New Roman" w:hAnsi="Times New Roman" w:eastAsia="Times New Roman"/>
                <w:b/>
                <w:sz w:val="20"/>
              </w:rPr>
              <w:t>Test</w:t>
            </w:r>
          </w:p>
        </w:tc>
      </w:tr>
      <w:tr>
        <w:tc>
          <w:tcPr>
            <w:tcW w:type="dxa" w:w="2055"/>
            <w:vAlign w:val="center"/>
          </w:tcPr>
          <w:p>
            <w:pPr>
              <w:spacing w:line="240" w:lineRule="auto" w:after="40"/>
            </w:pPr>
            <w:r>
              <w:rPr>
                <w:rFonts w:ascii="Times New Roman" w:hAnsi="Times New Roman" w:eastAsia="Times New Roman"/>
                <w:sz w:val="20"/>
              </w:rPr>
              <w:t>Healthy Leaves</w:t>
            </w:r>
          </w:p>
        </w:tc>
        <w:tc>
          <w:tcPr>
            <w:tcW w:type="dxa" w:w="2055"/>
            <w:vAlign w:val="center"/>
          </w:tcPr>
          <w:p>
            <w:pPr>
              <w:spacing w:line="240" w:lineRule="auto" w:after="40"/>
            </w:pPr>
            <w:r>
              <w:rPr>
                <w:rFonts w:ascii="Times New Roman" w:hAnsi="Times New Roman" w:eastAsia="Times New Roman"/>
                <w:sz w:val="20"/>
              </w:rPr>
              <w:t>700</w:t>
            </w:r>
          </w:p>
        </w:tc>
        <w:tc>
          <w:tcPr>
            <w:tcW w:type="dxa" w:w="2055"/>
            <w:vAlign w:val="center"/>
          </w:tcPr>
          <w:p>
            <w:pPr>
              <w:spacing w:line="240" w:lineRule="auto" w:after="40"/>
            </w:pPr>
            <w:r>
              <w:rPr>
                <w:rFonts w:ascii="Times New Roman" w:hAnsi="Times New Roman" w:eastAsia="Times New Roman"/>
                <w:sz w:val="20"/>
              </w:rPr>
              <w:t>20</w:t>
            </w:r>
          </w:p>
        </w:tc>
        <w:tc>
          <w:tcPr>
            <w:tcW w:type="dxa" w:w="2055"/>
            <w:vAlign w:val="center"/>
          </w:tcPr>
          <w:p>
            <w:pPr>
              <w:spacing w:line="240" w:lineRule="auto" w:after="40"/>
            </w:pPr>
            <w:r>
              <w:rPr>
                <w:rFonts w:ascii="Times New Roman" w:hAnsi="Times New Roman" w:eastAsia="Times New Roman"/>
                <w:sz w:val="20"/>
              </w:rPr>
              <w:t>19</w:t>
            </w:r>
          </w:p>
        </w:tc>
      </w:tr>
      <w:tr>
        <w:tc>
          <w:tcPr>
            <w:tcW w:type="dxa" w:w="2055"/>
            <w:vAlign w:val="center"/>
          </w:tcPr>
          <w:p>
            <w:pPr>
              <w:spacing w:line="240" w:lineRule="auto" w:after="40"/>
            </w:pPr>
            <w:r>
              <w:rPr>
                <w:rFonts w:ascii="Times New Roman" w:hAnsi="Times New Roman" w:eastAsia="Times New Roman"/>
                <w:sz w:val="20"/>
              </w:rPr>
              <w:t>WCLWD Drying of Leaflets</w:t>
            </w:r>
          </w:p>
        </w:tc>
        <w:tc>
          <w:tcPr>
            <w:tcW w:type="dxa" w:w="2055"/>
            <w:vAlign w:val="center"/>
          </w:tcPr>
          <w:p>
            <w:pPr>
              <w:spacing w:line="240" w:lineRule="auto" w:after="40"/>
            </w:pPr>
            <w:r>
              <w:rPr>
                <w:rFonts w:ascii="Times New Roman" w:hAnsi="Times New Roman" w:eastAsia="Times New Roman"/>
                <w:sz w:val="20"/>
              </w:rPr>
              <w:t>742</w:t>
            </w:r>
          </w:p>
        </w:tc>
        <w:tc>
          <w:tcPr>
            <w:tcW w:type="dxa" w:w="2055"/>
            <w:vAlign w:val="center"/>
          </w:tcPr>
          <w:p>
            <w:pPr>
              <w:spacing w:line="240" w:lineRule="auto" w:after="40"/>
            </w:pPr>
            <w:r>
              <w:rPr>
                <w:rFonts w:ascii="Times New Roman" w:hAnsi="Times New Roman" w:eastAsia="Times New Roman"/>
                <w:sz w:val="20"/>
              </w:rPr>
              <w:t>160</w:t>
            </w:r>
          </w:p>
        </w:tc>
        <w:tc>
          <w:tcPr>
            <w:tcW w:type="dxa" w:w="2055"/>
            <w:vAlign w:val="center"/>
          </w:tcPr>
          <w:p>
            <w:pPr>
              <w:spacing w:line="240" w:lineRule="auto" w:after="40"/>
            </w:pPr>
            <w:r>
              <w:rPr>
                <w:rFonts w:ascii="Times New Roman" w:hAnsi="Times New Roman" w:eastAsia="Times New Roman"/>
                <w:sz w:val="20"/>
              </w:rPr>
              <w:t>176</w:t>
            </w:r>
          </w:p>
        </w:tc>
      </w:tr>
      <w:tr>
        <w:tc>
          <w:tcPr>
            <w:tcW w:type="dxa" w:w="2055"/>
            <w:vAlign w:val="center"/>
          </w:tcPr>
          <w:p>
            <w:pPr>
              <w:spacing w:line="240" w:lineRule="auto" w:after="40"/>
            </w:pPr>
            <w:r>
              <w:rPr>
                <w:rFonts w:ascii="Times New Roman" w:hAnsi="Times New Roman" w:eastAsia="Times New Roman"/>
                <w:sz w:val="20"/>
              </w:rPr>
              <w:t>WCLWD Flaccidity</w:t>
            </w:r>
          </w:p>
        </w:tc>
        <w:tc>
          <w:tcPr>
            <w:tcW w:type="dxa" w:w="2055"/>
            <w:vAlign w:val="center"/>
          </w:tcPr>
          <w:p>
            <w:pPr>
              <w:spacing w:line="240" w:lineRule="auto" w:after="40"/>
            </w:pPr>
            <w:r>
              <w:rPr>
                <w:rFonts w:ascii="Times New Roman" w:hAnsi="Times New Roman" w:eastAsia="Times New Roman"/>
                <w:sz w:val="20"/>
              </w:rPr>
              <w:t>772</w:t>
            </w:r>
          </w:p>
        </w:tc>
        <w:tc>
          <w:tcPr>
            <w:tcW w:type="dxa" w:w="2055"/>
            <w:vAlign w:val="center"/>
          </w:tcPr>
          <w:p>
            <w:pPr>
              <w:spacing w:line="240" w:lineRule="auto" w:after="40"/>
            </w:pPr>
            <w:r>
              <w:rPr>
                <w:rFonts w:ascii="Times New Roman" w:hAnsi="Times New Roman" w:eastAsia="Times New Roman"/>
                <w:sz w:val="20"/>
              </w:rPr>
              <w:t>142</w:t>
            </w:r>
          </w:p>
        </w:tc>
        <w:tc>
          <w:tcPr>
            <w:tcW w:type="dxa" w:w="2055"/>
            <w:vAlign w:val="center"/>
          </w:tcPr>
          <w:p>
            <w:pPr>
              <w:spacing w:line="240" w:lineRule="auto" w:after="40"/>
            </w:pPr>
            <w:r>
              <w:rPr>
                <w:rFonts w:ascii="Times New Roman" w:hAnsi="Times New Roman" w:eastAsia="Times New Roman"/>
                <w:sz w:val="20"/>
              </w:rPr>
              <w:t>155</w:t>
            </w:r>
          </w:p>
        </w:tc>
      </w:tr>
      <w:tr>
        <w:tc>
          <w:tcPr>
            <w:tcW w:type="dxa" w:w="2055"/>
            <w:vAlign w:val="center"/>
          </w:tcPr>
          <w:p>
            <w:pPr>
              <w:spacing w:line="240" w:lineRule="auto" w:after="40"/>
            </w:pPr>
            <w:r>
              <w:rPr>
                <w:rFonts w:ascii="Times New Roman" w:hAnsi="Times New Roman" w:eastAsia="Times New Roman"/>
                <w:sz w:val="20"/>
              </w:rPr>
              <w:t>WCLWD Yellowing</w:t>
            </w:r>
          </w:p>
        </w:tc>
        <w:tc>
          <w:tcPr>
            <w:tcW w:type="dxa" w:w="2055"/>
            <w:vAlign w:val="center"/>
          </w:tcPr>
          <w:p>
            <w:pPr>
              <w:spacing w:line="240" w:lineRule="auto" w:after="40"/>
            </w:pPr>
            <w:r>
              <w:rPr>
                <w:rFonts w:ascii="Times New Roman" w:hAnsi="Times New Roman" w:eastAsia="Times New Roman"/>
                <w:sz w:val="20"/>
              </w:rPr>
              <w:t>753</w:t>
            </w:r>
          </w:p>
        </w:tc>
        <w:tc>
          <w:tcPr>
            <w:tcW w:type="dxa" w:w="2055"/>
            <w:vAlign w:val="center"/>
          </w:tcPr>
          <w:p>
            <w:pPr>
              <w:spacing w:line="240" w:lineRule="auto" w:after="40"/>
            </w:pPr>
            <w:r>
              <w:rPr>
                <w:rFonts w:ascii="Times New Roman" w:hAnsi="Times New Roman" w:eastAsia="Times New Roman"/>
                <w:sz w:val="20"/>
              </w:rPr>
              <w:t>184</w:t>
            </w:r>
          </w:p>
        </w:tc>
        <w:tc>
          <w:tcPr>
            <w:tcW w:type="dxa" w:w="2055"/>
            <w:vAlign w:val="center"/>
          </w:tcPr>
          <w:p>
            <w:pPr>
              <w:spacing w:line="240" w:lineRule="auto" w:after="40"/>
            </w:pPr>
            <w:r>
              <w:rPr>
                <w:rFonts w:ascii="Times New Roman" w:hAnsi="Times New Roman" w:eastAsia="Times New Roman"/>
                <w:sz w:val="20"/>
              </w:rPr>
              <w:t>147</w:t>
            </w:r>
          </w:p>
        </w:tc>
      </w:tr>
      <w:tr>
        <w:tc>
          <w:tcPr>
            <w:tcW w:type="dxa" w:w="2055"/>
            <w:vAlign w:val="center"/>
          </w:tcPr>
          <w:p>
            <w:pPr>
              <w:spacing w:line="240" w:lineRule="auto" w:after="40"/>
            </w:pPr>
            <w:r>
              <w:rPr>
                <w:rFonts w:ascii="Times New Roman" w:hAnsi="Times New Roman" w:eastAsia="Times New Roman"/>
                <w:sz w:val="20"/>
              </w:rPr>
              <w:t>Total</w:t>
            </w:r>
          </w:p>
        </w:tc>
        <w:tc>
          <w:tcPr>
            <w:tcW w:type="dxa" w:w="2055"/>
            <w:vAlign w:val="center"/>
          </w:tcPr>
          <w:p>
            <w:pPr>
              <w:spacing w:line="240" w:lineRule="auto" w:after="40"/>
            </w:pPr>
            <w:r>
              <w:rPr>
                <w:rFonts w:ascii="Times New Roman" w:hAnsi="Times New Roman" w:eastAsia="Times New Roman"/>
                <w:sz w:val="20"/>
              </w:rPr>
              <w:t>2,967</w:t>
            </w:r>
          </w:p>
        </w:tc>
        <w:tc>
          <w:tcPr>
            <w:tcW w:type="dxa" w:w="2055"/>
            <w:vAlign w:val="center"/>
          </w:tcPr>
          <w:p>
            <w:pPr>
              <w:spacing w:line="240" w:lineRule="auto" w:after="40"/>
            </w:pPr>
            <w:r>
              <w:rPr>
                <w:rFonts w:ascii="Times New Roman" w:hAnsi="Times New Roman" w:eastAsia="Times New Roman"/>
                <w:sz w:val="20"/>
              </w:rPr>
              <w:t>506</w:t>
            </w:r>
          </w:p>
        </w:tc>
        <w:tc>
          <w:tcPr>
            <w:tcW w:type="dxa" w:w="2055"/>
            <w:vAlign w:val="center"/>
          </w:tcPr>
          <w:p>
            <w:pPr>
              <w:spacing w:line="240" w:lineRule="auto" w:after="40"/>
            </w:pPr>
            <w:r>
              <w:rPr>
                <w:rFonts w:ascii="Times New Roman" w:hAnsi="Times New Roman" w:eastAsia="Times New Roman"/>
                <w:sz w:val="20"/>
              </w:rPr>
              <w:t>497</w:t>
            </w:r>
          </w:p>
        </w:tc>
      </w:tr>
    </w:tbl>
    <w:p>
      <w:pPr>
        <w:widowControl/>
      </w:pPr>
    </w:p>
    <w:p>
      <w:pPr>
        <w:widowControl/>
        <w:spacing w:line="240" w:lineRule="auto"/>
        <w:jc w:val="center"/>
      </w:pPr>
      <w:r>
        <w:rPr>
          <w:rFonts w:ascii="Times New Roman" w:hAnsi="Times New Roman" w:eastAsia="Times New Roman"/>
          <w:b/>
          <w:sz w:val="20"/>
        </w:rPr>
        <w:t>Table A.2. DSI configuration</w:t>
      </w:r>
    </w:p>
    <w:tbl>
      <w:tblPr>
        <w:tblStyle w:val="TableGrid"/>
        <w:tblW w:type="auto" w:w="0"/>
        <w:jc w:val="center"/>
        <w:tblLook w:firstColumn="1" w:firstRow="1" w:lastColumn="0" w:lastRow="0" w:noHBand="0" w:noVBand="1" w:val="04A0"/>
      </w:tblPr>
      <w:tblGrid>
        <w:gridCol w:w="2740"/>
        <w:gridCol w:w="2740"/>
        <w:gridCol w:w="2740"/>
      </w:tblGrid>
      <w:tr>
        <w:tc>
          <w:tcPr>
            <w:tcW w:type="dxa" w:w="2740"/>
            <w:vAlign w:val="center"/>
          </w:tcPr>
          <w:p>
            <w:r>
              <w:rPr>
                <w:rFonts w:ascii="Times New Roman" w:hAnsi="Times New Roman" w:eastAsia="Times New Roman"/>
                <w:b/>
                <w:sz w:val="20"/>
              </w:rPr>
              <w:t>Feature</w:t>
            </w:r>
          </w:p>
        </w:tc>
        <w:tc>
          <w:tcPr>
            <w:tcW w:type="dxa" w:w="2740"/>
            <w:vAlign w:val="center"/>
          </w:tcPr>
          <w:p>
            <w:r>
              <w:rPr>
                <w:rFonts w:ascii="Times New Roman" w:hAnsi="Times New Roman" w:eastAsia="Times New Roman"/>
                <w:b/>
                <w:sz w:val="20"/>
              </w:rPr>
              <w:t>Weight</w:t>
            </w:r>
          </w:p>
        </w:tc>
        <w:tc>
          <w:tcPr>
            <w:tcW w:type="dxa" w:w="2740"/>
            <w:vAlign w:val="center"/>
          </w:tcPr>
          <w:p>
            <w:r>
              <w:rPr>
                <w:rFonts w:ascii="Times New Roman" w:hAnsi="Times New Roman" w:eastAsia="Times New Roman"/>
                <w:b/>
                <w:sz w:val="20"/>
              </w:rPr>
              <w:t>Interpretation</w:t>
            </w:r>
          </w:p>
        </w:tc>
      </w:tr>
      <w:tr>
        <w:tc>
          <w:tcPr>
            <w:tcW w:type="dxa" w:w="2740"/>
            <w:vAlign w:val="center"/>
          </w:tcPr>
          <w:p>
            <w:pPr>
              <w:spacing w:line="240" w:lineRule="auto" w:after="40"/>
            </w:pPr>
            <w:r>
              <w:rPr>
                <w:rFonts w:ascii="Times New Roman" w:hAnsi="Times New Roman" w:eastAsia="Times New Roman"/>
                <w:sz w:val="20"/>
              </w:rPr>
              <w:t>Asymmetry</w:t>
            </w:r>
          </w:p>
        </w:tc>
        <w:tc>
          <w:tcPr>
            <w:tcW w:type="dxa" w:w="2740"/>
            <w:vAlign w:val="center"/>
          </w:tcPr>
          <w:p>
            <w:pPr>
              <w:spacing w:line="240" w:lineRule="auto" w:after="40"/>
            </w:pPr>
            <w:r>
              <w:rPr>
                <w:rFonts w:ascii="Times New Roman" w:hAnsi="Times New Roman" w:eastAsia="Times New Roman"/>
                <w:sz w:val="20"/>
              </w:rPr>
              <w:t>0.20</w:t>
            </w:r>
          </w:p>
        </w:tc>
        <w:tc>
          <w:tcPr>
            <w:tcW w:type="dxa" w:w="2740"/>
            <w:vAlign w:val="center"/>
          </w:tcPr>
          <w:p>
            <w:pPr>
              <w:spacing w:line="240" w:lineRule="auto" w:after="40"/>
            </w:pPr>
            <w:r>
              <w:rPr>
                <w:rFonts w:ascii="Times New Roman" w:hAnsi="Times New Roman" w:eastAsia="Times New Roman"/>
                <w:sz w:val="20"/>
              </w:rPr>
              <w:t>Difference in disease-pixel distribution around the principal axis</w:t>
            </w:r>
          </w:p>
        </w:tc>
      </w:tr>
      <w:tr>
        <w:tc>
          <w:tcPr>
            <w:tcW w:type="dxa" w:w="2740"/>
            <w:vAlign w:val="center"/>
          </w:tcPr>
          <w:p>
            <w:pPr>
              <w:spacing w:line="240" w:lineRule="auto" w:after="40"/>
            </w:pPr>
            <w:r>
              <w:rPr>
                <w:rFonts w:ascii="Times New Roman" w:hAnsi="Times New Roman" w:eastAsia="Times New Roman"/>
                <w:sz w:val="20"/>
              </w:rPr>
              <w:t>Border irregularity</w:t>
            </w:r>
          </w:p>
        </w:tc>
        <w:tc>
          <w:tcPr>
            <w:tcW w:type="dxa" w:w="2740"/>
            <w:vAlign w:val="center"/>
          </w:tcPr>
          <w:p>
            <w:pPr>
              <w:spacing w:line="240" w:lineRule="auto" w:after="40"/>
            </w:pPr>
            <w:r>
              <w:rPr>
                <w:rFonts w:ascii="Times New Roman" w:hAnsi="Times New Roman" w:eastAsia="Times New Roman"/>
                <w:sz w:val="20"/>
              </w:rPr>
              <w:t>0.20</w:t>
            </w:r>
          </w:p>
        </w:tc>
        <w:tc>
          <w:tcPr>
            <w:tcW w:type="dxa" w:w="2740"/>
            <w:vAlign w:val="center"/>
          </w:tcPr>
          <w:p>
            <w:pPr>
              <w:spacing w:line="240" w:lineRule="auto" w:after="40"/>
            </w:pPr>
            <w:r>
              <w:rPr>
                <w:rFonts w:ascii="Times New Roman" w:hAnsi="Times New Roman" w:eastAsia="Times New Roman"/>
                <w:sz w:val="20"/>
              </w:rPr>
              <w:t>One minus contour solidity</w:t>
            </w:r>
          </w:p>
        </w:tc>
      </w:tr>
      <w:tr>
        <w:tc>
          <w:tcPr>
            <w:tcW w:type="dxa" w:w="2740"/>
            <w:vAlign w:val="center"/>
          </w:tcPr>
          <w:p>
            <w:pPr>
              <w:spacing w:line="240" w:lineRule="auto" w:after="40"/>
            </w:pPr>
            <w:r>
              <w:rPr>
                <w:rFonts w:ascii="Times New Roman" w:hAnsi="Times New Roman" w:eastAsia="Times New Roman"/>
                <w:sz w:val="20"/>
              </w:rPr>
              <w:t>Colour variation</w:t>
            </w:r>
          </w:p>
        </w:tc>
        <w:tc>
          <w:tcPr>
            <w:tcW w:type="dxa" w:w="2740"/>
            <w:vAlign w:val="center"/>
          </w:tcPr>
          <w:p>
            <w:pPr>
              <w:spacing w:line="240" w:lineRule="auto" w:after="40"/>
            </w:pPr>
            <w:r>
              <w:rPr>
                <w:rFonts w:ascii="Times New Roman" w:hAnsi="Times New Roman" w:eastAsia="Times New Roman"/>
                <w:sz w:val="20"/>
              </w:rPr>
              <w:t>0.20</w:t>
            </w:r>
          </w:p>
        </w:tc>
        <w:tc>
          <w:tcPr>
            <w:tcW w:type="dxa" w:w="2740"/>
            <w:vAlign w:val="center"/>
          </w:tcPr>
          <w:p>
            <w:pPr>
              <w:spacing w:line="240" w:lineRule="auto" w:after="40"/>
            </w:pPr>
            <w:r>
              <w:rPr>
                <w:rFonts w:ascii="Times New Roman" w:hAnsi="Times New Roman" w:eastAsia="Times New Roman"/>
                <w:sz w:val="20"/>
              </w:rPr>
              <w:t>Variation in LAB colour values within the pseudo-mask</w:t>
            </w:r>
          </w:p>
        </w:tc>
      </w:tr>
      <w:tr>
        <w:tc>
          <w:tcPr>
            <w:tcW w:type="dxa" w:w="2740"/>
            <w:vAlign w:val="center"/>
          </w:tcPr>
          <w:p>
            <w:pPr>
              <w:spacing w:line="240" w:lineRule="auto" w:after="40"/>
            </w:pPr>
            <w:r>
              <w:rPr>
                <w:rFonts w:ascii="Times New Roman" w:hAnsi="Times New Roman" w:eastAsia="Times New Roman"/>
                <w:sz w:val="20"/>
              </w:rPr>
              <w:t>Distribution</w:t>
            </w:r>
          </w:p>
        </w:tc>
        <w:tc>
          <w:tcPr>
            <w:tcW w:type="dxa" w:w="2740"/>
            <w:vAlign w:val="center"/>
          </w:tcPr>
          <w:p>
            <w:pPr>
              <w:spacing w:line="240" w:lineRule="auto" w:after="40"/>
            </w:pPr>
            <w:r>
              <w:rPr>
                <w:rFonts w:ascii="Times New Roman" w:hAnsi="Times New Roman" w:eastAsia="Times New Roman"/>
                <w:sz w:val="20"/>
              </w:rPr>
              <w:t>0.15</w:t>
            </w:r>
          </w:p>
        </w:tc>
        <w:tc>
          <w:tcPr>
            <w:tcW w:type="dxa" w:w="2740"/>
            <w:vAlign w:val="center"/>
          </w:tcPr>
          <w:p>
            <w:pPr>
              <w:spacing w:line="240" w:lineRule="auto" w:after="40"/>
            </w:pPr>
            <w:r>
              <w:rPr>
                <w:rFonts w:ascii="Times New Roman" w:hAnsi="Times New Roman" w:eastAsia="Times New Roman"/>
                <w:sz w:val="20"/>
              </w:rPr>
              <w:t>Spatial spread and quadrant coverage</w:t>
            </w:r>
          </w:p>
        </w:tc>
      </w:tr>
      <w:tr>
        <w:tc>
          <w:tcPr>
            <w:tcW w:type="dxa" w:w="2740"/>
            <w:vAlign w:val="center"/>
          </w:tcPr>
          <w:p>
            <w:pPr>
              <w:spacing w:line="240" w:lineRule="auto" w:after="40"/>
            </w:pPr>
            <w:r>
              <w:rPr>
                <w:rFonts w:ascii="Times New Roman" w:hAnsi="Times New Roman" w:eastAsia="Times New Roman"/>
                <w:sz w:val="20"/>
              </w:rPr>
              <w:t>Affected area</w:t>
            </w:r>
          </w:p>
        </w:tc>
        <w:tc>
          <w:tcPr>
            <w:tcW w:type="dxa" w:w="2740"/>
            <w:vAlign w:val="center"/>
          </w:tcPr>
          <w:p>
            <w:pPr>
              <w:spacing w:line="240" w:lineRule="auto" w:after="40"/>
            </w:pPr>
            <w:r>
              <w:rPr>
                <w:rFonts w:ascii="Times New Roman" w:hAnsi="Times New Roman" w:eastAsia="Times New Roman"/>
                <w:sz w:val="20"/>
              </w:rPr>
              <w:t>0.25</w:t>
            </w:r>
          </w:p>
        </w:tc>
        <w:tc>
          <w:tcPr>
            <w:tcW w:type="dxa" w:w="2740"/>
            <w:vAlign w:val="center"/>
          </w:tcPr>
          <w:p>
            <w:pPr>
              <w:spacing w:line="240" w:lineRule="auto" w:after="40"/>
            </w:pPr>
            <w:r>
              <w:rPr>
                <w:rFonts w:ascii="Times New Roman" w:hAnsi="Times New Roman" w:eastAsia="Times New Roman"/>
                <w:sz w:val="20"/>
              </w:rPr>
              <w:t>Pseudo-mask area relative to the heuristic leaf mask</w:t>
            </w:r>
          </w:p>
        </w:tc>
      </w:tr>
    </w:tbl>
    <w:p>
      <w:pPr>
        <w:widowControl/>
      </w:pPr>
    </w:p>
    <w:p>
      <w:pPr>
        <w:widowControl/>
      </w:pPr>
      <w:r>
        <w:rPr>
          <w:rFonts w:ascii="Times New Roman" w:hAnsi="Times New Roman" w:eastAsia="Times New Roman"/>
          <w:i w:val="0"/>
          <w:sz w:val="24"/>
        </w:rPr>
        <w:t>The notebook's current calibration bounds are data-derived from the fifth and ninety-fifth percentiles of observed raw features on the dataset's test-set diseased predictions. These bounds should be recalculated using training/validation data before the DSI is presented as an independently evaluated output. The bounds observed in the supplied notebook are: asymmetry_raw (0.0033, 0.2214), border_raw (0.0434, 0.3372), colour_std (20.3591, 35.7745), and distribution_raw (0.2689, 0.5580).</w:t>
      </w:r>
    </w:p>
    <w:p>
      <w:pPr>
        <w:pStyle w:val="Heading2"/>
        <w:widowControl/>
      </w:pPr>
      <w:r>
        <w:t>Appendix B: Academic integrity and AI-use disclosure</w:t>
      </w:r>
    </w:p>
    <w:p>
      <w:pPr>
        <w:widowControl/>
      </w:pPr>
      <w:r>
        <w:rPr>
          <w:rFonts w:ascii="Times New Roman" w:hAnsi="Times New Roman" w:eastAsia="Times New Roman"/>
          <w:i w:val="0"/>
          <w:sz w:val="24"/>
        </w:rPr>
        <w:t>Draft disclosure for the student to revise according to the module policy: Generative AI assistance was used to help organise the thesis structure, improve clarity of explanatory prose, and draft descriptions based on the supplied notebook, template, formatting guidelines and group research paper. The student must independently verify all technical claims, references, numerical results, code descriptions and interpretations; revise the text to reflect their own understanding and actual contribution; and disclose use of AI according to the institution's requirements. AI assistance does not replace source verification, supervisor review or responsibility for the submitted work.</w:t>
      </w:r>
    </w:p>
    <w:p>
      <w:pPr>
        <w:widowControl/>
      </w:pPr>
      <w:r>
        <w:rPr>
          <w:rFonts w:ascii="Times New Roman" w:hAnsi="Times New Roman" w:eastAsia="Times New Roman"/>
          <w:i w:val="0"/>
          <w:sz w:val="24"/>
        </w:rPr>
        <w:t>Before submission, replace all personal and institutional placeholders, verify the final Word formatting, update the table of contents and lists, insert the actual architecture and results figures, confirm references and dataset access date, and obtain supervisor approval.</w:t>
      </w:r>
    </w:p>
    <w:sectPr w:rsidR="00FC693F" w:rsidRPr="0006063C" w:rsidSect="00034616">
      <w:footerReference w:type="default" r:id="rId9"/>
      <w:footerReference w:type="first" r:id="rId10"/>
      <w:pgSz w:w="11906" w:h="16838"/>
      <w:pgMar w:top="1417" w:right="1417" w:bottom="2268" w:left="2268"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line="240" w:lineRule="auto"/>
      <w:jc w:val="right"/>
    </w:pPr>
    <w:r>
      <w:fldChar w:fldCharType="begin"/>
      <w:instrText xml:space="preserve">PAGE</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0" w:after="240"/>
      <w:outlineLvl w:val="0"/>
    </w:pPr>
    <w:rPr>
      <w:rFonts w:asciiTheme="majorHAnsi" w:eastAsiaTheme="majorEastAsia" w:hAnsiTheme="majorHAnsi" w:cstheme="majorBidi" w:ascii="Times New Roman" w:hAnsi="Times New Roman" w:eastAsia="Times New Roman"/>
      <w:b/>
      <w:bCs/>
      <w:sz w:val="28"/>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Times New Roman" w:hAnsi="Times New Roman" w:eastAsia="Times New Roman"/>
      <w:b/>
      <w:bCs/>
      <w:sz w:val="24"/>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Times New Roman" w:hAnsi="Times New Roman" w:eastAsia="Times New Roman"/>
      <w:b/>
      <w:bCs/>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AI-ENABLED WELIGAMA COCONUT LEAF WILT DISEASE CLASSIFICATION AND COMPUTATIONAL SEVERITY ASSESSMENT</dc:title>
  <dc:subject>Individual thesis draft for WCLWD assessment component</dc:subject>
  <dc:creator>[Student full name]</dc:creator>
  <cp:keywords>WCLWD, EfficientNet-B0, Grad-CAM, WSSS, DSI</cp:keywords>
  <dc:description>generated by python-docx</dc:description>
  <cp:lastModifiedBy/>
  <cp:revision>1</cp:revision>
  <dcterms:created xsi:type="dcterms:W3CDTF">2013-12-23T23:15:00Z</dcterms:created>
  <dcterms:modified xsi:type="dcterms:W3CDTF">2013-12-23T23:15:00Z</dcterms:modified>
  <cp:category/>
</cp:coreProperties>
</file>