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  <w:jc w:val="center"/>
        <w:bidi w:val="1"/>
      </w:pPr>
      <w:r>
        <w:rPr>
          <w:rFonts w:ascii="Arial" w:hAnsi="Arial" w:cs="Arial"/>
          <w:b/>
          <w:color w:val="1B5A3B"/>
          <w:sz w:val="28"/>
          <w:rtl w:val="1"/>
        </w:rPr>
        <w:t>جامعة بيرزيت</w:t>
      </w:r>
    </w:p>
    <w:p>
      <w:pPr>
        <w:spacing w:before="480" w:after="120"/>
        <w:jc w:val="center"/>
        <w:bidi w:val="1"/>
      </w:pPr>
      <w:r>
        <w:rPr>
          <w:rFonts w:ascii="Arial" w:hAnsi="Arial" w:cs="Arial"/>
          <w:b/>
          <w:color w:val="1B5A3B"/>
          <w:sz w:val="50"/>
          <w:rtl w:val="1"/>
        </w:rPr>
        <w:t>دليل الطالب للمساق</w:t>
      </w:r>
    </w:p>
    <w:p>
      <w:pPr>
        <w:spacing w:after="120"/>
        <w:jc w:val="center"/>
        <w:bidi w:val="1"/>
      </w:pPr>
      <w:r>
        <w:rPr>
          <w:rFonts w:ascii="Arial" w:hAnsi="Arial" w:cs="Arial"/>
          <w:b/>
          <w:color w:val="2C4C3E"/>
          <w:sz w:val="34"/>
          <w:rtl w:val="1"/>
        </w:rPr>
        <w:t>UNIV1110 — الذكاء الاصطناعي والتربية الإعلامية</w:t>
      </w:r>
    </w:p>
    <w:p>
      <w:pPr>
        <w:spacing w:after="360"/>
        <w:jc w:val="center"/>
        <w:bidi w:val="1"/>
      </w:pPr>
      <w:r>
        <w:rPr>
          <w:rFonts w:ascii="Arial" w:hAnsi="Arial" w:cs="Arial"/>
          <w:color w:val="5A5A5A"/>
          <w:sz w:val="26"/>
          <w:rtl w:val="1"/>
        </w:rPr>
        <w:t>AI and Media Literacy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0E6"/>
            <w:tcMar>
              <w:top w:w="160" w:type="dxa"/>
              <w:start w:w="170" w:type="dxa"/>
              <w:bottom w:w="160" w:type="dxa"/>
              <w:end w:w="170" w:type="dxa"/>
            </w:tcMar>
            <w:vAlign w:val="center"/>
          </w:tcPr>
          <w:p>
            <w:pPr>
              <w:spacing w:after="60"/>
              <w:jc w:val="right"/>
              <w:bidi w:val="1"/>
            </w:pPr>
            <w:r>
              <w:rPr>
                <w:rFonts w:ascii="Arial" w:hAnsi="Arial" w:cs="Arial"/>
                <w:b/>
                <w:color w:val="845C2B"/>
                <w:sz w:val="25"/>
                <w:rtl w:val="1"/>
              </w:rPr>
              <w:t>الفترة المكثفة | أيلول 2026</w:t>
            </w:r>
          </w:p>
          <w:p>
            <w:pPr>
              <w:spacing w:after="0" w:line="300" w:lineRule="auto"/>
              <w:jc w:val="right"/>
              <w:bidi w:val="1"/>
            </w:pPr>
            <w:r>
              <w:rPr>
                <w:rFonts w:ascii="Arial" w:hAnsi="Arial" w:cs="Arial"/>
                <w:color w:val="232323"/>
                <w:sz w:val="22"/>
                <w:rtl w:val="1"/>
              </w:rPr>
              <w:t>10 لقاءات × 80 دقيقة | من 7 إلى 22 أيلول 2026 | مساق متطلب جامعة لطلبة السنة الأولى</w:t>
            </w:r>
          </w:p>
        </w:tc>
      </w:tr>
    </w:tbl>
    <w:p>
      <w:pPr>
        <w:spacing w:after="40"/>
      </w:pPr>
    </w:p>
    <w:p>
      <w:pPr>
        <w:spacing w:before="200" w:after="60" w:line="300" w:lineRule="auto"/>
        <w:jc w:val="center"/>
        <w:bidi w:val="1"/>
      </w:pPr>
      <w:r>
        <w:rPr>
          <w:rFonts w:ascii="Arial" w:hAnsi="Arial" w:cs="Arial"/>
          <w:b/>
          <w:color w:val="373737"/>
          <w:sz w:val="23"/>
          <w:rtl w:val="1"/>
        </w:rPr>
        <w:t>المدرّسة: رواء أبو هويدي  |  الشعب: 6 و8</w:t>
      </w:r>
    </w:p>
    <w:p>
      <w:pPr>
        <w:spacing w:before="0" w:after="280" w:line="300" w:lineRule="auto"/>
        <w:jc w:val="center"/>
        <w:bidi w:val="1"/>
      </w:pPr>
      <w:r>
        <w:rPr>
          <w:rFonts w:ascii="Arial" w:hAnsi="Arial" w:cs="Arial"/>
          <w:b w:val="0"/>
          <w:color w:val="646464"/>
          <w:sz w:val="21"/>
          <w:rtl w:val="1"/>
        </w:rPr>
        <w:t>العام الأكاديمي 2026/2027</w:t>
      </w:r>
    </w:p>
    <w:p>
      <w:pPr>
        <w:spacing w:before="160" w:after="80" w:line="300" w:lineRule="auto"/>
        <w:jc w:val="center"/>
        <w:bidi w:val="1"/>
      </w:pPr>
      <w:r>
        <w:rPr>
          <w:rFonts w:ascii="Arial" w:hAnsi="Arial" w:cs="Arial"/>
          <w:b w:val="0"/>
          <w:color w:val="323232"/>
          <w:sz w:val="23"/>
          <w:rtl w:val="1"/>
        </w:rPr>
        <w:t>هذا الدليل يعرّفك بما ستتعلمه، وكيف ستشارك، وكيف ستُقيَّم، وما المتوقع منك عند استخدام أدوات الذكاء الاصطناعي داخل المساق.</w:t>
      </w:r>
    </w:p>
    <w:p>
      <w:r>
        <w:br w:type="page"/>
      </w:r>
    </w:p>
    <w:p>
      <w:pPr>
        <w:spacing w:before="200" w:after="120"/>
        <w:jc w:val="right"/>
        <w:bidi w:val="1"/>
      </w:pPr>
      <w:r>
        <w:rPr>
          <w:rFonts w:ascii="Arial" w:hAnsi="Arial" w:cs="Arial"/>
          <w:b/>
          <w:color w:val="1B5A3B"/>
          <w:sz w:val="34"/>
          <w:rtl w:val="1"/>
        </w:rPr>
        <w:t>1. المساق في دقيقة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D9E7DD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1B5A3B"/>
                <w:sz w:val="21"/>
                <w:rtl w:val="1"/>
              </w:rPr>
              <w:t>رمز المساق</w:t>
            </w:r>
          </w:p>
        </w:tc>
        <w:tc>
          <w:tcPr>
            <w:tcW w:type="dxa" w:w="70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D9E7DD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21"/>
                <w:rtl w:val="1"/>
              </w:rPr>
              <w:t>UNIV1110</w:t>
            </w:r>
          </w:p>
        </w:tc>
      </w:tr>
      <w:t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D9E7DD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1B5A3B"/>
                <w:sz w:val="21"/>
                <w:rtl w:val="1"/>
              </w:rPr>
              <w:t>اسم المساق</w:t>
            </w:r>
          </w:p>
        </w:tc>
        <w:tc>
          <w:tcPr>
            <w:tcW w:type="dxa" w:w="70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232323"/>
                <w:sz w:val="20"/>
                <w:rtl w:val="1"/>
              </w:rPr>
              <w:t>الذكاء الاصطناعي والتربية الإعلامية</w:t>
            </w:r>
          </w:p>
        </w:tc>
      </w:tr>
      <w:t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D9E7DD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1B5A3B"/>
                <w:sz w:val="21"/>
                <w:rtl w:val="1"/>
              </w:rPr>
              <w:t>الساعات المعتمدة</w:t>
            </w:r>
          </w:p>
        </w:tc>
        <w:tc>
          <w:tcPr>
            <w:tcW w:type="dxa" w:w="70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232323"/>
                <w:sz w:val="20"/>
                <w:rtl w:val="1"/>
              </w:rPr>
              <w:t>ساعة معتمدة واحدة</w:t>
            </w:r>
          </w:p>
        </w:tc>
      </w:tr>
      <w:t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D9E7DD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1B5A3B"/>
                <w:sz w:val="21"/>
                <w:rtl w:val="1"/>
              </w:rPr>
              <w:t>الفئة المستهدفة</w:t>
            </w:r>
          </w:p>
        </w:tc>
        <w:tc>
          <w:tcPr>
            <w:tcW w:type="dxa" w:w="70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232323"/>
                <w:sz w:val="20"/>
                <w:rtl w:val="1"/>
              </w:rPr>
              <w:t>طلبة السنة الأولى ضمن متطلبات الجامعة</w:t>
            </w:r>
          </w:p>
        </w:tc>
      </w:tr>
      <w:t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D9E7DD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1B5A3B"/>
                <w:sz w:val="21"/>
                <w:rtl w:val="1"/>
              </w:rPr>
              <w:t>نمط الطرح الحالي</w:t>
            </w:r>
          </w:p>
        </w:tc>
        <w:tc>
          <w:tcPr>
            <w:tcW w:type="dxa" w:w="70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232323"/>
                <w:sz w:val="20"/>
                <w:rtl w:val="1"/>
              </w:rPr>
              <w:t>طرح مكثف تجريبي (Pilot)</w:t>
            </w:r>
          </w:p>
        </w:tc>
      </w:tr>
      <w:t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D9E7DD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1B5A3B"/>
                <w:sz w:val="21"/>
                <w:rtl w:val="1"/>
              </w:rPr>
              <w:t>عدد اللقاءات</w:t>
            </w:r>
          </w:p>
        </w:tc>
        <w:tc>
          <w:tcPr>
            <w:tcW w:type="dxa" w:w="70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232323"/>
                <w:sz w:val="20"/>
                <w:rtl w:val="1"/>
              </w:rPr>
              <w:t>10 لقاءات</w:t>
            </w:r>
          </w:p>
        </w:tc>
      </w:tr>
      <w:t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D9E7DD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1B5A3B"/>
                <w:sz w:val="21"/>
                <w:rtl w:val="1"/>
              </w:rPr>
              <w:t>مدة اللقاء</w:t>
            </w:r>
          </w:p>
        </w:tc>
        <w:tc>
          <w:tcPr>
            <w:tcW w:type="dxa" w:w="70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232323"/>
                <w:sz w:val="20"/>
                <w:rtl w:val="1"/>
              </w:rPr>
              <w:t>80 دقيقة</w:t>
            </w:r>
          </w:p>
        </w:tc>
      </w:tr>
    </w:tbl>
    <w:p>
      <w:pPr>
        <w:spacing w:before="200" w:after="120"/>
        <w:jc w:val="right"/>
        <w:bidi w:val="1"/>
      </w:pPr>
      <w:r>
        <w:rPr>
          <w:rFonts w:ascii="Arial" w:hAnsi="Arial" w:cs="Arial"/>
          <w:b/>
          <w:color w:val="1B5A3B"/>
          <w:sz w:val="34"/>
          <w:rtl w:val="1"/>
        </w:rPr>
        <w:t>2. ما فكرة المساق؟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cs="Arial"/>
          <w:b w:val="0"/>
          <w:color w:val="222222"/>
          <w:sz w:val="23"/>
          <w:rtl w:val="1"/>
        </w:rPr>
        <w:t>هذا المساق لا يهدف إلى تحويلك إلى مبرمج ذكاء اصطناعي، ولا إلى تعليمك استخدام أداة واحدة فقط. الهدف هو أن تصبح مستخدمًا واعيًا وناقدًا ومسؤولًا: تفهم أساسيات الذكاء الاصطناعي، تعرف أين يفيدك وأين يخطئ، تتحقق من مخرجاته، تدرك أثر البيانات والتحيز والخوارزميات، وتحسن استخدامه في الدراسة والإعلام والحياة الرقمية دون أن تستبدل به تفكيرك ومسؤوليتك.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1ED"/>
            <w:tcMar>
              <w:top w:w="160" w:type="dxa"/>
              <w:start w:w="170" w:type="dxa"/>
              <w:bottom w:w="160" w:type="dxa"/>
              <w:end w:w="170" w:type="dxa"/>
            </w:tcMar>
            <w:vAlign w:val="center"/>
          </w:tcPr>
          <w:p>
            <w:pPr>
              <w:spacing w:after="60"/>
              <w:jc w:val="right"/>
              <w:bidi w:val="1"/>
            </w:pPr>
            <w:r>
              <w:rPr>
                <w:rFonts w:ascii="Arial" w:hAnsi="Arial" w:cs="Arial"/>
                <w:b/>
                <w:color w:val="1B5A3B"/>
                <w:sz w:val="25"/>
                <w:rtl w:val="1"/>
              </w:rPr>
              <w:t>الفكرة الأساسية</w:t>
            </w:r>
          </w:p>
          <w:p>
            <w:pPr>
              <w:spacing w:after="0" w:line="300" w:lineRule="auto"/>
              <w:jc w:val="right"/>
              <w:bidi w:val="1"/>
            </w:pPr>
            <w:r>
              <w:rPr>
                <w:rFonts w:ascii="Arial" w:hAnsi="Arial" w:cs="Arial"/>
                <w:color w:val="232323"/>
                <w:sz w:val="22"/>
                <w:rtl w:val="1"/>
              </w:rPr>
              <w:t>استخدم الذكاء الاصطناعي ليُعزّز قدرتك على التفكير والتعلّم، لا ليحلّ محلها.</w:t>
            </w:r>
          </w:p>
        </w:tc>
      </w:tr>
    </w:tbl>
    <w:p>
      <w:pPr>
        <w:spacing w:after="40"/>
      </w:pPr>
    </w:p>
    <w:p>
      <w:pPr>
        <w:spacing w:before="200" w:after="120"/>
        <w:jc w:val="right"/>
        <w:bidi w:val="1"/>
      </w:pPr>
      <w:r>
        <w:rPr>
          <w:rFonts w:ascii="Arial" w:hAnsi="Arial" w:cs="Arial"/>
          <w:b/>
          <w:color w:val="1B5A3B"/>
          <w:sz w:val="34"/>
          <w:rtl w:val="1"/>
        </w:rPr>
        <w:t>3. ماذا يُتوقع أن تتعلم؟</w:t>
      </w:r>
    </w:p>
    <w:p>
      <w:pPr>
        <w:pStyle w:val="ListBullet"/>
        <w:spacing w:after="80"/>
        <w:ind w:left="0" w:right="0"/>
        <w:jc w:val="right"/>
        <w:bidi w:val="1"/>
      </w:pPr>
      <w:r>
        <w:rPr>
          <w:rFonts w:ascii="Arial" w:hAnsi="Arial" w:cs="Arial"/>
          <w:sz w:val="22"/>
          <w:rtl w:val="1"/>
        </w:rPr>
        <w:t>تعريف المفاهيم الأساسية للذكاء الاصطناعي والتمييز بين الذكاء الاصطناعي والذكاء البشري.</w:t>
      </w:r>
    </w:p>
    <w:p>
      <w:pPr>
        <w:pStyle w:val="ListBullet"/>
        <w:spacing w:after="80"/>
        <w:ind w:left="0" w:right="0"/>
        <w:jc w:val="right"/>
        <w:bidi w:val="1"/>
      </w:pPr>
      <w:r>
        <w:rPr>
          <w:rFonts w:ascii="Arial" w:hAnsi="Arial" w:cs="Arial"/>
          <w:sz w:val="22"/>
          <w:rtl w:val="1"/>
        </w:rPr>
        <w:t>تحديد أهم تطبيقات الذكاء الاصطناعي في الحياة اليومية والتعليم الجامعي وتقييم إمكاناته وحدوده.</w:t>
      </w:r>
    </w:p>
    <w:p>
      <w:pPr>
        <w:pStyle w:val="ListBullet"/>
        <w:spacing w:after="80"/>
        <w:ind w:left="0" w:right="0"/>
        <w:jc w:val="right"/>
        <w:bidi w:val="1"/>
      </w:pPr>
      <w:r>
        <w:rPr>
          <w:rFonts w:ascii="Arial" w:hAnsi="Arial" w:cs="Arial"/>
          <w:sz w:val="22"/>
          <w:rtl w:val="1"/>
        </w:rPr>
        <w:t>استخدام أدوات الذكاء الاصطناعي التوليدي بفعالية من خلال أوامر (Prompts) واضحة ومناسبة للهدف.</w:t>
      </w:r>
    </w:p>
    <w:p>
      <w:pPr>
        <w:pStyle w:val="ListBullet"/>
        <w:spacing w:after="80"/>
        <w:ind w:left="0" w:right="0"/>
        <w:jc w:val="right"/>
        <w:bidi w:val="1"/>
      </w:pPr>
      <w:r>
        <w:rPr>
          <w:rFonts w:ascii="Arial" w:hAnsi="Arial" w:cs="Arial"/>
          <w:sz w:val="22"/>
          <w:rtl w:val="1"/>
        </w:rPr>
        <w:t>اختيار المهام المناسبة لاستخدام AI، وتقييم المخرجات، والتحقق من المعلومات التي ينتجها.</w:t>
      </w:r>
    </w:p>
    <w:p>
      <w:pPr>
        <w:pStyle w:val="ListBullet"/>
        <w:spacing w:after="80"/>
        <w:ind w:left="0" w:right="0"/>
        <w:jc w:val="right"/>
        <w:bidi w:val="1"/>
      </w:pPr>
      <w:r>
        <w:rPr>
          <w:rFonts w:ascii="Arial" w:hAnsi="Arial" w:cs="Arial"/>
          <w:sz w:val="22"/>
          <w:rtl w:val="1"/>
        </w:rPr>
        <w:t>تحليل الأخطاء والهلوسة (Hallucination) والتحيز (Bias) والمعلومات المضللة بصورة نقدية.</w:t>
      </w:r>
    </w:p>
    <w:p>
      <w:pPr>
        <w:pStyle w:val="ListBullet"/>
        <w:spacing w:after="80"/>
        <w:ind w:left="0" w:right="0"/>
        <w:jc w:val="right"/>
        <w:bidi w:val="1"/>
      </w:pPr>
      <w:r>
        <w:rPr>
          <w:rFonts w:ascii="Arial" w:hAnsi="Arial" w:cs="Arial"/>
          <w:sz w:val="22"/>
          <w:rtl w:val="1"/>
        </w:rPr>
        <w:t>فهم دور البيانات والخوارزميات وأنواع التحيز وتأثيراته.</w:t>
      </w:r>
    </w:p>
    <w:p>
      <w:pPr>
        <w:pStyle w:val="ListBullet"/>
        <w:spacing w:after="80"/>
        <w:ind w:left="0" w:right="0"/>
        <w:jc w:val="right"/>
        <w:bidi w:val="1"/>
      </w:pPr>
      <w:r>
        <w:rPr>
          <w:rFonts w:ascii="Arial" w:hAnsi="Arial" w:cs="Arial"/>
          <w:sz w:val="22"/>
          <w:rtl w:val="1"/>
        </w:rPr>
        <w:t>تطبيق مبادئ الاستخدام الأخلاقي والمسؤول، بما يشمل العدالة والشفافية والمسؤولية والخصوصية.</w:t>
      </w:r>
    </w:p>
    <w:p>
      <w:pPr>
        <w:pStyle w:val="ListBullet"/>
        <w:spacing w:after="80"/>
        <w:ind w:left="0" w:right="0"/>
        <w:jc w:val="right"/>
        <w:bidi w:val="1"/>
      </w:pPr>
      <w:r>
        <w:rPr>
          <w:rFonts w:ascii="Arial" w:hAnsi="Arial" w:cs="Arial"/>
          <w:sz w:val="22"/>
          <w:rtl w:val="1"/>
        </w:rPr>
        <w:t>التمييز بين الاستخدام المقبول وغير المقبول للذكاء الاصطناعي في البيئة الجامعية والالتزام بالنزاهة الأكاديمية.</w:t>
      </w:r>
    </w:p>
    <w:p>
      <w:pPr>
        <w:pStyle w:val="ListBullet"/>
        <w:spacing w:after="80"/>
        <w:ind w:left="0" w:right="0"/>
        <w:jc w:val="right"/>
        <w:bidi w:val="1"/>
      </w:pPr>
      <w:r>
        <w:rPr>
          <w:rFonts w:ascii="Arial" w:hAnsi="Arial" w:cs="Arial"/>
          <w:sz w:val="22"/>
          <w:rtl w:val="1"/>
        </w:rPr>
        <w:t>الإفصاح بصورة مناسبة عن استخدام أدوات الذكاء الاصطناعي في الأعمال الأكاديمية بحسب طبيعة المهمة.</w:t>
      </w:r>
    </w:p>
    <w:p>
      <w:pPr>
        <w:pStyle w:val="ListBullet"/>
        <w:spacing w:after="80"/>
        <w:ind w:left="0" w:right="0"/>
        <w:jc w:val="right"/>
        <w:bidi w:val="1"/>
      </w:pPr>
      <w:r>
        <w:rPr>
          <w:rFonts w:ascii="Arial" w:hAnsi="Arial" w:cs="Arial"/>
          <w:sz w:val="22"/>
          <w:rtl w:val="1"/>
        </w:rPr>
        <w:t>تقييم الآثار الاجتماعية والإعلامية والرقمية للذكاء الاصطناعي في السياق الفلسطيني.</w:t>
      </w:r>
    </w:p>
    <w:p>
      <w:pPr>
        <w:pStyle w:val="ListBullet"/>
        <w:spacing w:after="80"/>
        <w:ind w:left="0" w:right="0"/>
        <w:jc w:val="right"/>
        <w:bidi w:val="1"/>
      </w:pPr>
      <w:r>
        <w:rPr>
          <w:rFonts w:ascii="Arial" w:hAnsi="Arial" w:cs="Arial"/>
          <w:sz w:val="22"/>
          <w:rtl w:val="1"/>
        </w:rPr>
        <w:t>تطبيق التفكير النقدي والتحقق من المصادر والمعلومات والأخبار الزائفة.</w:t>
      </w:r>
    </w:p>
    <w:p>
      <w:pPr>
        <w:pStyle w:val="ListBullet"/>
        <w:spacing w:after="80"/>
        <w:ind w:left="0" w:right="0"/>
        <w:jc w:val="right"/>
        <w:bidi w:val="1"/>
      </w:pPr>
      <w:r>
        <w:rPr>
          <w:rFonts w:ascii="Arial" w:hAnsi="Arial" w:cs="Arial"/>
          <w:sz w:val="22"/>
          <w:rtl w:val="1"/>
        </w:rPr>
        <w:t>إنتاج محتوى رقمي بصورة إبداعية وفعالة وأخلاقية باستخدام أدوات الذكاء الاصطناعي.</w:t>
      </w:r>
    </w:p>
    <w:p>
      <w:r>
        <w:br w:type="page"/>
      </w:r>
    </w:p>
    <w:p>
      <w:pPr>
        <w:spacing w:before="200" w:after="120"/>
        <w:jc w:val="right"/>
        <w:bidi w:val="1"/>
      </w:pPr>
      <w:r>
        <w:rPr>
          <w:rFonts w:ascii="Arial" w:hAnsi="Arial" w:cs="Arial"/>
          <w:b/>
          <w:color w:val="1B5A3B"/>
          <w:sz w:val="34"/>
          <w:rtl w:val="1"/>
        </w:rPr>
        <w:t>4. خريطة اللقاءات العشرة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0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B5A3B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21"/>
                <w:rtl w:val="1"/>
              </w:rPr>
              <w:t>اللقاء</w:t>
            </w:r>
          </w:p>
        </w:tc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B5A3B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21"/>
                <w:rtl w:val="1"/>
              </w:rPr>
              <w:t>التاريخ</w:t>
            </w:r>
          </w:p>
        </w:tc>
        <w:tc>
          <w:tcPr>
            <w:tcW w:type="dxa" w:w="72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B5A3B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21"/>
                <w:rtl w:val="1"/>
              </w:rPr>
              <w:t>الموضوع</w:t>
            </w:r>
          </w:p>
        </w:tc>
      </w:tr>
      <w:tr>
        <w:tc>
          <w:tcPr>
            <w:tcW w:type="dxa" w:w="10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 w:val="0"/>
                <w:color w:val="232323"/>
                <w:sz w:val="20"/>
                <w:rtl w:val="1"/>
              </w:rPr>
              <w:t>1</w:t>
            </w:r>
          </w:p>
        </w:tc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232323"/>
                <w:sz w:val="20"/>
                <w:rtl w:val="1"/>
              </w:rPr>
              <w:t>7 أيلول</w:t>
            </w:r>
          </w:p>
        </w:tc>
        <w:tc>
          <w:tcPr>
            <w:tcW w:type="dxa" w:w="72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232323"/>
                <w:sz w:val="20"/>
                <w:rtl w:val="1"/>
              </w:rPr>
              <w:t>أساسيات الذكاء الاصطناعي: من المفاهيم إلى التطبيقات والواقع</w:t>
            </w:r>
          </w:p>
        </w:tc>
      </w:tr>
      <w:tr>
        <w:tc>
          <w:tcPr>
            <w:tcW w:type="dxa" w:w="10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 w:val="0"/>
                <w:color w:val="232323"/>
                <w:sz w:val="20"/>
                <w:rtl w:val="1"/>
              </w:rPr>
              <w:t>2</w:t>
            </w:r>
          </w:p>
        </w:tc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232323"/>
                <w:sz w:val="20"/>
                <w:rtl w:val="1"/>
              </w:rPr>
              <w:t>8 أيلول</w:t>
            </w:r>
          </w:p>
        </w:tc>
        <w:tc>
          <w:tcPr>
            <w:tcW w:type="dxa" w:w="72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232323"/>
                <w:sz w:val="20"/>
                <w:rtl w:val="1"/>
              </w:rPr>
              <w:t>التفاعل المسؤول مع الذكاء الاصطناعي</w:t>
            </w:r>
          </w:p>
        </w:tc>
      </w:tr>
      <w:tr>
        <w:tc>
          <w:tcPr>
            <w:tcW w:type="dxa" w:w="10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 w:val="0"/>
                <w:color w:val="232323"/>
                <w:sz w:val="20"/>
                <w:rtl w:val="1"/>
              </w:rPr>
              <w:t>3</w:t>
            </w:r>
          </w:p>
        </w:tc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232323"/>
                <w:sz w:val="20"/>
                <w:rtl w:val="1"/>
              </w:rPr>
              <w:t>9 أيلول</w:t>
            </w:r>
          </w:p>
        </w:tc>
        <w:tc>
          <w:tcPr>
            <w:tcW w:type="dxa" w:w="72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232323"/>
                <w:sz w:val="20"/>
                <w:rtl w:val="1"/>
              </w:rPr>
              <w:t>الكفاءات والمهارات الأساسية للتعامل مع الذكاء الاصطناعي</w:t>
            </w:r>
          </w:p>
        </w:tc>
      </w:tr>
      <w:tr>
        <w:tc>
          <w:tcPr>
            <w:tcW w:type="dxa" w:w="10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 w:val="0"/>
                <w:color w:val="232323"/>
                <w:sz w:val="20"/>
                <w:rtl w:val="1"/>
              </w:rPr>
              <w:t>4</w:t>
            </w:r>
          </w:p>
        </w:tc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232323"/>
                <w:sz w:val="20"/>
                <w:rtl w:val="1"/>
              </w:rPr>
              <w:t>10 أيلول</w:t>
            </w:r>
          </w:p>
        </w:tc>
        <w:tc>
          <w:tcPr>
            <w:tcW w:type="dxa" w:w="72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232323"/>
                <w:sz w:val="20"/>
                <w:rtl w:val="1"/>
              </w:rPr>
              <w:t>النزاهة الأكاديمية في جامعة بيرزيت</w:t>
            </w:r>
          </w:p>
        </w:tc>
      </w:tr>
      <w:tr>
        <w:tc>
          <w:tcPr>
            <w:tcW w:type="dxa" w:w="10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 w:val="0"/>
                <w:color w:val="232323"/>
                <w:sz w:val="20"/>
                <w:rtl w:val="1"/>
              </w:rPr>
              <w:t>5</w:t>
            </w:r>
          </w:p>
        </w:tc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232323"/>
                <w:sz w:val="20"/>
                <w:rtl w:val="1"/>
              </w:rPr>
              <w:t>14 أيلول</w:t>
            </w:r>
          </w:p>
        </w:tc>
        <w:tc>
          <w:tcPr>
            <w:tcW w:type="dxa" w:w="72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232323"/>
                <w:sz w:val="20"/>
                <w:rtl w:val="1"/>
              </w:rPr>
              <w:t>أخلاقيات الذكاء الاصطناعي</w:t>
            </w:r>
          </w:p>
        </w:tc>
      </w:tr>
      <w:tr>
        <w:tc>
          <w:tcPr>
            <w:tcW w:type="dxa" w:w="10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 w:val="0"/>
                <w:color w:val="232323"/>
                <w:sz w:val="20"/>
                <w:rtl w:val="1"/>
              </w:rPr>
              <w:t>6</w:t>
            </w:r>
          </w:p>
        </w:tc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232323"/>
                <w:sz w:val="20"/>
                <w:rtl w:val="1"/>
              </w:rPr>
              <w:t>15 أيلول</w:t>
            </w:r>
          </w:p>
        </w:tc>
        <w:tc>
          <w:tcPr>
            <w:tcW w:type="dxa" w:w="72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232323"/>
                <w:sz w:val="20"/>
                <w:rtl w:val="1"/>
              </w:rPr>
              <w:t>انحياز الخوارزميات</w:t>
            </w:r>
          </w:p>
        </w:tc>
      </w:tr>
      <w:tr>
        <w:tc>
          <w:tcPr>
            <w:tcW w:type="dxa" w:w="10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 w:val="0"/>
                <w:color w:val="232323"/>
                <w:sz w:val="20"/>
                <w:rtl w:val="1"/>
              </w:rPr>
              <w:t>7</w:t>
            </w:r>
          </w:p>
        </w:tc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232323"/>
                <w:sz w:val="20"/>
                <w:rtl w:val="1"/>
              </w:rPr>
              <w:t>16 أيلول</w:t>
            </w:r>
          </w:p>
        </w:tc>
        <w:tc>
          <w:tcPr>
            <w:tcW w:type="dxa" w:w="72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232323"/>
                <w:sz w:val="20"/>
                <w:rtl w:val="1"/>
              </w:rPr>
              <w:t>التفكير النقدي والاعتمادية</w:t>
            </w:r>
          </w:p>
        </w:tc>
      </w:tr>
      <w:tr>
        <w:tc>
          <w:tcPr>
            <w:tcW w:type="dxa" w:w="10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 w:val="0"/>
                <w:color w:val="232323"/>
                <w:sz w:val="20"/>
                <w:rtl w:val="1"/>
              </w:rPr>
              <w:t>8</w:t>
            </w:r>
          </w:p>
        </w:tc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232323"/>
                <w:sz w:val="20"/>
                <w:rtl w:val="1"/>
              </w:rPr>
              <w:t>17 أيلول</w:t>
            </w:r>
          </w:p>
        </w:tc>
        <w:tc>
          <w:tcPr>
            <w:tcW w:type="dxa" w:w="72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232323"/>
                <w:sz w:val="20"/>
                <w:rtl w:val="1"/>
              </w:rPr>
              <w:t>التربية الإعلامية</w:t>
            </w:r>
          </w:p>
        </w:tc>
      </w:tr>
      <w:tr>
        <w:tc>
          <w:tcPr>
            <w:tcW w:type="dxa" w:w="10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 w:val="0"/>
                <w:color w:val="232323"/>
                <w:sz w:val="20"/>
                <w:rtl w:val="1"/>
              </w:rPr>
              <w:t>9</w:t>
            </w:r>
          </w:p>
        </w:tc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232323"/>
                <w:sz w:val="20"/>
                <w:rtl w:val="1"/>
              </w:rPr>
              <w:t>21 أيلول</w:t>
            </w:r>
          </w:p>
        </w:tc>
        <w:tc>
          <w:tcPr>
            <w:tcW w:type="dxa" w:w="72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232323"/>
                <w:sz w:val="20"/>
                <w:rtl w:val="1"/>
              </w:rPr>
              <w:t>الحقوق الرقمية وخصوصية البيانات</w:t>
            </w:r>
          </w:p>
        </w:tc>
      </w:tr>
      <w:tr>
        <w:tc>
          <w:tcPr>
            <w:tcW w:type="dxa" w:w="10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 w:val="0"/>
                <w:color w:val="232323"/>
                <w:sz w:val="20"/>
                <w:rtl w:val="1"/>
              </w:rPr>
              <w:t>10</w:t>
            </w:r>
          </w:p>
        </w:tc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232323"/>
                <w:sz w:val="20"/>
                <w:rtl w:val="1"/>
              </w:rPr>
              <w:t>22 أيلول</w:t>
            </w:r>
          </w:p>
        </w:tc>
        <w:tc>
          <w:tcPr>
            <w:tcW w:type="dxa" w:w="72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232323"/>
                <w:sz w:val="20"/>
                <w:rtl w:val="1"/>
              </w:rPr>
              <w:t>مختبر الحملة الرقمية وبناء السردية الفلسطينية</w:t>
            </w:r>
          </w:p>
        </w:tc>
      </w:tr>
    </w:tbl>
    <w:p>
      <w:pPr>
        <w:spacing w:before="100" w:after="120" w:line="300" w:lineRule="auto"/>
        <w:jc w:val="right"/>
        <w:bidi w:val="1"/>
      </w:pPr>
      <w:r>
        <w:rPr>
          <w:rFonts w:ascii="Arial" w:hAnsi="Arial" w:cs="Arial"/>
          <w:b w:val="0"/>
          <w:color w:val="5A5A5A"/>
          <w:sz w:val="20"/>
          <w:rtl w:val="1"/>
        </w:rPr>
        <w:t>ملاحظة: يعتمد هذا الجدول على فترة التدريس المكثف المعلنة من 7 إلى 22 أيلول 2026، وبواقع اللقاءات العشرة المتسلسلة خلال أيام التدريس المحددة.</w:t>
      </w:r>
    </w:p>
    <w:p>
      <w:pPr>
        <w:spacing w:before="200" w:after="120"/>
        <w:jc w:val="right"/>
        <w:bidi w:val="1"/>
      </w:pPr>
      <w:r>
        <w:rPr>
          <w:rFonts w:ascii="Arial" w:hAnsi="Arial" w:cs="Arial"/>
          <w:b/>
          <w:color w:val="1B5A3B"/>
          <w:sz w:val="34"/>
          <w:rtl w:val="1"/>
        </w:rPr>
        <w:t>5. كيف سنتعلم داخل الصف؟</w:t>
      </w:r>
    </w:p>
    <w:p>
      <w:pPr>
        <w:pStyle w:val="ListBullet"/>
        <w:spacing w:after="80"/>
        <w:ind w:left="0" w:right="0"/>
        <w:jc w:val="right"/>
        <w:bidi w:val="1"/>
      </w:pPr>
      <w:r>
        <w:rPr>
          <w:rFonts w:ascii="Arial" w:hAnsi="Arial" w:cs="Arial"/>
          <w:sz w:val="22"/>
          <w:rtl w:val="1"/>
        </w:rPr>
        <w:t>نقاشات قصيرة وموجهة بدل الاعتماد على المحاضرة التقليدية فقط.</w:t>
      </w:r>
    </w:p>
    <w:p>
      <w:pPr>
        <w:pStyle w:val="ListBullet"/>
        <w:spacing w:after="80"/>
        <w:ind w:left="0" w:right="0"/>
        <w:jc w:val="right"/>
        <w:bidi w:val="1"/>
      </w:pPr>
      <w:r>
        <w:rPr>
          <w:rFonts w:ascii="Arial" w:hAnsi="Arial" w:cs="Arial"/>
          <w:sz w:val="22"/>
          <w:rtl w:val="1"/>
        </w:rPr>
        <w:t>تجارب مباشرة باستخدام أدوات الذكاء الاصطناعي.</w:t>
      </w:r>
    </w:p>
    <w:p>
      <w:pPr>
        <w:pStyle w:val="ListBullet"/>
        <w:spacing w:after="80"/>
        <w:ind w:left="0" w:right="0"/>
        <w:jc w:val="right"/>
        <w:bidi w:val="1"/>
      </w:pPr>
      <w:r>
        <w:rPr>
          <w:rFonts w:ascii="Arial" w:hAnsi="Arial" w:cs="Arial"/>
          <w:sz w:val="22"/>
          <w:rtl w:val="1"/>
        </w:rPr>
        <w:t>عمل فردي وجماعي ودراسات حالة مرتبطة بالحياة الجامعية والفضاء الرقمي.</w:t>
      </w:r>
    </w:p>
    <w:p>
      <w:pPr>
        <w:pStyle w:val="ListBullet"/>
        <w:spacing w:after="80"/>
        <w:ind w:left="0" w:right="0"/>
        <w:jc w:val="right"/>
        <w:bidi w:val="1"/>
      </w:pPr>
      <w:r>
        <w:rPr>
          <w:rFonts w:ascii="Arial" w:hAnsi="Arial" w:cs="Arial"/>
          <w:sz w:val="22"/>
          <w:rtl w:val="1"/>
        </w:rPr>
        <w:t>تحليل مخرجات AI والتحقق منها ومقارنتها بمصادر أخرى.</w:t>
      </w:r>
    </w:p>
    <w:p>
      <w:pPr>
        <w:pStyle w:val="ListBullet"/>
        <w:spacing w:after="80"/>
        <w:ind w:left="0" w:right="0"/>
        <w:jc w:val="right"/>
        <w:bidi w:val="1"/>
      </w:pPr>
      <w:r>
        <w:rPr>
          <w:rFonts w:ascii="Arial" w:hAnsi="Arial" w:cs="Arial"/>
          <w:sz w:val="22"/>
          <w:rtl w:val="1"/>
        </w:rPr>
        <w:t>أنشطة تطبيقية حول Prompt Engineering، النزاهة الأكاديمية، الأخلاقيات، التحيز، التربية الإعلامية، والحقوق الرقمية.</w:t>
      </w:r>
    </w:p>
    <w:p>
      <w:pPr>
        <w:pStyle w:val="ListBullet"/>
        <w:spacing w:after="80"/>
        <w:ind w:left="0" w:right="0"/>
        <w:jc w:val="right"/>
        <w:bidi w:val="1"/>
      </w:pPr>
      <w:r>
        <w:rPr>
          <w:rFonts w:ascii="Arial" w:hAnsi="Arial" w:cs="Arial"/>
          <w:sz w:val="22"/>
          <w:rtl w:val="1"/>
        </w:rPr>
        <w:t>مشروع نهائي يربط ما تعلمته بقضية مجتمعية فلسطينية.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0E6"/>
            <w:tcMar>
              <w:top w:w="160" w:type="dxa"/>
              <w:start w:w="170" w:type="dxa"/>
              <w:bottom w:w="160" w:type="dxa"/>
              <w:end w:w="170" w:type="dxa"/>
            </w:tcMar>
            <w:vAlign w:val="center"/>
          </w:tcPr>
          <w:p>
            <w:pPr>
              <w:spacing w:after="60"/>
              <w:jc w:val="right"/>
              <w:bidi w:val="1"/>
            </w:pPr>
            <w:r>
              <w:rPr>
                <w:rFonts w:ascii="Arial" w:hAnsi="Arial" w:cs="Arial"/>
                <w:b/>
                <w:color w:val="845C2B"/>
                <w:sz w:val="25"/>
                <w:rtl w:val="1"/>
              </w:rPr>
              <w:t>في هذا المساق، المشاركة جزء من التعلم</w:t>
            </w:r>
          </w:p>
          <w:p>
            <w:pPr>
              <w:spacing w:after="0" w:line="300" w:lineRule="auto"/>
              <w:jc w:val="right"/>
              <w:bidi w:val="1"/>
            </w:pPr>
            <w:r>
              <w:rPr>
                <w:rFonts w:ascii="Arial" w:hAnsi="Arial" w:cs="Arial"/>
                <w:color w:val="232323"/>
                <w:sz w:val="22"/>
                <w:rtl w:val="1"/>
              </w:rPr>
              <w:t>لن تكون مهمتك حفظ تعريفات فقط؛ ستُطلب منك الملاحظة والمقارنة والتجريب والتفسير واتخاذ موقف مدعوم بالحجج.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120"/>
        <w:jc w:val="right"/>
        <w:bidi w:val="1"/>
      </w:pPr>
      <w:r>
        <w:rPr>
          <w:rFonts w:ascii="Arial" w:hAnsi="Arial" w:cs="Arial"/>
          <w:b/>
          <w:color w:val="1B5A3B"/>
          <w:sz w:val="34"/>
          <w:rtl w:val="1"/>
        </w:rPr>
        <w:t>6. التقييم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B5A3B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21"/>
                <w:rtl w:val="1"/>
              </w:rPr>
              <w:t>أداة التقييم</w:t>
            </w:r>
          </w:p>
        </w:tc>
        <w:tc>
          <w:tcPr>
            <w:tcW w:type="dxa" w:w="11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B5A3B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21"/>
                <w:rtl w:val="1"/>
              </w:rPr>
              <w:t>الوزن</w:t>
            </w:r>
          </w:p>
        </w:tc>
        <w:tc>
          <w:tcPr>
            <w:tcW w:type="dxa" w:w="63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B5A3B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21"/>
                <w:rtl w:val="1"/>
              </w:rPr>
              <w:t>كيف تُقيَّم؟</w:t>
            </w:r>
          </w:p>
        </w:tc>
      </w:tr>
      <w:tr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 w:val="0"/>
                <w:color w:val="232323"/>
                <w:sz w:val="20"/>
                <w:rtl w:val="1"/>
              </w:rPr>
              <w:t>المشاركة والأنشطة الصفية</w:t>
            </w:r>
          </w:p>
        </w:tc>
        <w:tc>
          <w:tcPr>
            <w:tcW w:type="dxa" w:w="11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232323"/>
                <w:sz w:val="20"/>
                <w:rtl w:val="1"/>
              </w:rPr>
              <w:t>20%</w:t>
            </w:r>
          </w:p>
        </w:tc>
        <w:tc>
          <w:tcPr>
            <w:tcW w:type="dxa" w:w="63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232323"/>
                <w:sz w:val="20"/>
                <w:rtl w:val="1"/>
              </w:rPr>
              <w:t>المشاركة في النقاشات والأنشطة القصيرة والتجارب.</w:t>
            </w:r>
          </w:p>
        </w:tc>
      </w:tr>
      <w:tr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 w:val="0"/>
                <w:color w:val="232323"/>
                <w:sz w:val="20"/>
                <w:rtl w:val="1"/>
              </w:rPr>
              <w:t>التقييم النصفي</w:t>
            </w:r>
          </w:p>
        </w:tc>
        <w:tc>
          <w:tcPr>
            <w:tcW w:type="dxa" w:w="11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232323"/>
                <w:sz w:val="20"/>
                <w:rtl w:val="1"/>
              </w:rPr>
              <w:t>30%</w:t>
            </w:r>
          </w:p>
        </w:tc>
        <w:tc>
          <w:tcPr>
            <w:tcW w:type="dxa" w:w="63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232323"/>
                <w:sz w:val="20"/>
                <w:rtl w:val="1"/>
              </w:rPr>
              <w:t>مجموعة مهام فردية حول استخدام AI، هندسة الأوامر، التحقق من المخرجات، الأخلاقيات والنزاهة الأكاديمية.</w:t>
            </w:r>
          </w:p>
        </w:tc>
      </w:tr>
      <w:tr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 w:val="0"/>
                <w:color w:val="232323"/>
                <w:sz w:val="20"/>
                <w:rtl w:val="1"/>
              </w:rPr>
              <w:t>المشروع النهائي</w:t>
            </w:r>
          </w:p>
        </w:tc>
        <w:tc>
          <w:tcPr>
            <w:tcW w:type="dxa" w:w="11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232323"/>
                <w:sz w:val="20"/>
                <w:rtl w:val="1"/>
              </w:rPr>
              <w:t>50%</w:t>
            </w:r>
          </w:p>
        </w:tc>
        <w:tc>
          <w:tcPr>
            <w:tcW w:type="dxa" w:w="63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232323"/>
                <w:sz w:val="20"/>
                <w:rtl w:val="1"/>
              </w:rPr>
              <w:t>إنتاج حملة رقمية حول قضية مجتمعية فلسطينية باستخدام أدوات AI بصورة أخلاقية ومسؤولة.</w:t>
            </w:r>
          </w:p>
        </w:tc>
      </w:tr>
    </w:tbl>
    <w:p>
      <w:pPr>
        <w:spacing w:before="200" w:after="120"/>
        <w:jc w:val="right"/>
        <w:bidi w:val="1"/>
      </w:pPr>
      <w:r>
        <w:rPr>
          <w:rFonts w:ascii="Arial" w:hAnsi="Arial" w:cs="Arial"/>
          <w:b/>
          <w:color w:val="1B5A3B"/>
          <w:sz w:val="34"/>
          <w:rtl w:val="1"/>
        </w:rPr>
        <w:t>7. سياسة استخدام الذكاء الاصطناعي في هذا المساق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cs="Arial"/>
          <w:b w:val="0"/>
          <w:color w:val="222222"/>
          <w:sz w:val="23"/>
          <w:rtl w:val="1"/>
        </w:rPr>
        <w:t>تعامل جامعة بيرزيت الذكاء الاصطناعي كأداة داعمة للتعليم والتعلم، مع التأكيد على التفكير الأعلى، المراجعة البشرية، النزاهة الأكاديمية، حماية البيانات، والاستخدام الأخلاقي والمسؤول. وفي هذا المساق سنطبق هذه المبادئ عمليًا.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B5A3B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21"/>
                <w:rtl w:val="1"/>
              </w:rPr>
              <w:t>المبدأ</w:t>
            </w:r>
          </w:p>
        </w:tc>
        <w:tc>
          <w:tcPr>
            <w:tcW w:type="dxa" w:w="78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B5A3B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21"/>
                <w:rtl w:val="1"/>
              </w:rPr>
              <w:t>ما يعنيه لك كطالب/ة</w:t>
            </w:r>
          </w:p>
        </w:tc>
      </w:tr>
      <w:t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 w:val="0"/>
                <w:color w:val="232323"/>
                <w:sz w:val="20"/>
                <w:rtl w:val="1"/>
              </w:rPr>
              <w:t>المسؤولية البشرية</w:t>
            </w:r>
          </w:p>
        </w:tc>
        <w:tc>
          <w:tcPr>
            <w:tcW w:type="dxa" w:w="78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232323"/>
                <w:sz w:val="20"/>
                <w:rtl w:val="1"/>
              </w:rPr>
              <w:t>أنت مسؤول/ة عن أي محتوى تسلّمه حتى لو ساهم AI في إنتاجه.</w:t>
            </w:r>
          </w:p>
        </w:tc>
      </w:tr>
      <w:t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 w:val="0"/>
                <w:color w:val="232323"/>
                <w:sz w:val="20"/>
                <w:rtl w:val="1"/>
              </w:rPr>
              <w:t>التحقق</w:t>
            </w:r>
          </w:p>
        </w:tc>
        <w:tc>
          <w:tcPr>
            <w:tcW w:type="dxa" w:w="78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232323"/>
                <w:sz w:val="20"/>
                <w:rtl w:val="1"/>
              </w:rPr>
              <w:t>لا تعتمد على مخرجات AI بوصفها حقيقة تلقائيًا؛ تحقق من المعلومات والمصادر.</w:t>
            </w:r>
          </w:p>
        </w:tc>
      </w:tr>
      <w:t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 w:val="0"/>
                <w:color w:val="232323"/>
                <w:sz w:val="20"/>
                <w:rtl w:val="1"/>
              </w:rPr>
              <w:t>الإفصاح</w:t>
            </w:r>
          </w:p>
        </w:tc>
        <w:tc>
          <w:tcPr>
            <w:tcW w:type="dxa" w:w="78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232323"/>
                <w:sz w:val="20"/>
                <w:rtl w:val="1"/>
              </w:rPr>
              <w:t>عندما يكون لاستخدام AI دور جوهري في إنجاز مهمة، اذكر الأداة وكيف استخدمتها وفق تعليمات المهمة.</w:t>
            </w:r>
          </w:p>
        </w:tc>
      </w:tr>
      <w:t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 w:val="0"/>
                <w:color w:val="232323"/>
                <w:sz w:val="20"/>
                <w:rtl w:val="1"/>
              </w:rPr>
              <w:t>الأصالة</w:t>
            </w:r>
          </w:p>
        </w:tc>
        <w:tc>
          <w:tcPr>
            <w:tcW w:type="dxa" w:w="78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232323"/>
                <w:sz w:val="20"/>
                <w:rtl w:val="1"/>
              </w:rPr>
              <w:t>لا تقدّم عملاً مولدًا بالكامل بالذكاء الاصطناعي على أنه عملك الشخصي.</w:t>
            </w:r>
          </w:p>
        </w:tc>
      </w:tr>
      <w:t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 w:val="0"/>
                <w:color w:val="232323"/>
                <w:sz w:val="20"/>
                <w:rtl w:val="1"/>
              </w:rPr>
              <w:t>الخصوصية</w:t>
            </w:r>
          </w:p>
        </w:tc>
        <w:tc>
          <w:tcPr>
            <w:tcW w:type="dxa" w:w="78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232323"/>
                <w:sz w:val="20"/>
                <w:rtl w:val="1"/>
              </w:rPr>
              <w:t>لا ترفع بيانات شخصية أو حساسة أو مواد لا تملك حق مشاركتها إلى أدوات AI.</w:t>
            </w:r>
          </w:p>
        </w:tc>
      </w:tr>
      <w:t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 w:val="0"/>
                <w:color w:val="232323"/>
                <w:sz w:val="20"/>
                <w:rtl w:val="1"/>
              </w:rPr>
              <w:t>حدود المهمة</w:t>
            </w:r>
          </w:p>
        </w:tc>
        <w:tc>
          <w:tcPr>
            <w:tcW w:type="dxa" w:w="78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232323"/>
                <w:sz w:val="20"/>
                <w:rtl w:val="1"/>
              </w:rPr>
              <w:t>إذا نصت تعليمات نشاط أو تقييم على منع استخدام AI أو تقييده، فهذه التعليمات جزء من التقييم ويجب الالتزام بها.</w:t>
            </w:r>
          </w:p>
        </w:tc>
      </w:tr>
    </w:tbl>
    <w:p>
      <w:pPr>
        <w:spacing w:before="200" w:after="120"/>
        <w:jc w:val="right"/>
        <w:bidi w:val="1"/>
      </w:pPr>
      <w:r>
        <w:rPr>
          <w:rFonts w:ascii="Arial" w:hAnsi="Arial" w:cs="Arial"/>
          <w:b/>
          <w:color w:val="1B5A3B"/>
          <w:sz w:val="34"/>
          <w:rtl w:val="1"/>
        </w:rPr>
        <w:t>8. النزاهة الأكاديمية والإفصاح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cs="Arial"/>
          <w:b w:val="0"/>
          <w:color w:val="222222"/>
          <w:sz w:val="23"/>
          <w:rtl w:val="1"/>
        </w:rPr>
        <w:t>الذكاء الاصطناعي لا يلغي قواعد الأمانة الأكاديمية. استخدام أداة لا يعفيك من نسبة الأفكار والمصادر إلى أصحابها، ولا من تقديم عمل يعكس تعلمك الحقيقي.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cs="Arial"/>
          <w:b/>
          <w:color w:val="1B5A3B"/>
          <w:sz w:val="22"/>
          <w:rtl w:val="1"/>
        </w:rPr>
        <w:t xml:space="preserve">مثال مبسط للإفصاح: </w:t>
      </w:r>
      <w:r>
        <w:rPr>
          <w:rFonts w:ascii="Arial" w:hAnsi="Arial" w:cs="Arial"/>
          <w:b w:val="0"/>
          <w:color w:val="232323"/>
          <w:sz w:val="22"/>
          <w:rtl w:val="1"/>
        </w:rPr>
        <w:t>استخدمتُ [اسم الأداة] للمساعدة في [العصف الذهني/تحسين صياغة/مقارنة بدائل/…]، ثم راجعتُ المخرجات وتحققتُ منها وعدّلتُها بنفسي.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EDEA"/>
            <w:tcMar>
              <w:top w:w="160" w:type="dxa"/>
              <w:start w:w="170" w:type="dxa"/>
              <w:bottom w:w="160" w:type="dxa"/>
              <w:end w:w="170" w:type="dxa"/>
            </w:tcMar>
            <w:vAlign w:val="center"/>
          </w:tcPr>
          <w:p>
            <w:pPr>
              <w:spacing w:after="60"/>
              <w:jc w:val="right"/>
              <w:bidi w:val="1"/>
            </w:pPr>
            <w:r>
              <w:rPr>
                <w:rFonts w:ascii="Arial" w:hAnsi="Arial" w:cs="Arial"/>
                <w:b/>
                <w:color w:val="914930"/>
                <w:sz w:val="25"/>
                <w:rtl w:val="1"/>
              </w:rPr>
              <w:t>قاعدة عملية</w:t>
            </w:r>
          </w:p>
          <w:p>
            <w:pPr>
              <w:spacing w:after="0" w:line="300" w:lineRule="auto"/>
              <w:jc w:val="right"/>
              <w:bidi w:val="1"/>
            </w:pPr>
            <w:r>
              <w:rPr>
                <w:rFonts w:ascii="Arial" w:hAnsi="Arial" w:cs="Arial"/>
                <w:color w:val="232323"/>
                <w:sz w:val="22"/>
                <w:rtl w:val="1"/>
              </w:rPr>
              <w:t>إذا لم تستطع شرح ما سلّمته أو الدفاع عنه أو التحقق منه، فلا تعتبره عملك الأكاديمي المكتمل.</w:t>
            </w:r>
          </w:p>
        </w:tc>
      </w:tr>
    </w:tbl>
    <w:p>
      <w:pPr>
        <w:spacing w:after="40"/>
      </w:pPr>
    </w:p>
    <w:p>
      <w:pPr>
        <w:spacing w:before="200" w:after="120"/>
        <w:jc w:val="right"/>
        <w:bidi w:val="1"/>
      </w:pPr>
      <w:r>
        <w:rPr>
          <w:rFonts w:ascii="Arial" w:hAnsi="Arial" w:cs="Arial"/>
          <w:b/>
          <w:color w:val="1B5A3B"/>
          <w:sz w:val="34"/>
          <w:rtl w:val="1"/>
        </w:rPr>
        <w:t>9. الحضور في الفترة المكثفة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cs="Arial"/>
          <w:b w:val="0"/>
          <w:color w:val="222222"/>
          <w:sz w:val="23"/>
          <w:rtl w:val="1"/>
        </w:rPr>
        <w:t>هذا المساق مكوّن من 10 لقاءات فقط؛ لذلك يمثل كل لقاء جزءًا كبيرًا من تجربة المساق. تطبّق أنظمة الجامعة الخاصة بالحضور والغياب والانسحاب كما في أي مساق جامعي آخر.</w:t>
      </w:r>
    </w:p>
    <w:p>
      <w:pPr>
        <w:pStyle w:val="ListBullet"/>
        <w:spacing w:after="80"/>
        <w:ind w:left="0" w:right="0"/>
        <w:jc w:val="right"/>
        <w:bidi w:val="1"/>
      </w:pPr>
      <w:r>
        <w:rPr>
          <w:rFonts w:ascii="Arial" w:hAnsi="Arial" w:cs="Arial"/>
          <w:sz w:val="22"/>
          <w:rtl w:val="1"/>
        </w:rPr>
        <w:t>الحضور في الوقت المحدد مهم لأن الأنشطة الصفية جزء من علامة المشاركة.</w:t>
      </w:r>
    </w:p>
    <w:p>
      <w:pPr>
        <w:pStyle w:val="ListBullet"/>
        <w:spacing w:after="80"/>
        <w:ind w:left="0" w:right="0"/>
        <w:jc w:val="right"/>
        <w:bidi w:val="1"/>
      </w:pPr>
      <w:r>
        <w:rPr>
          <w:rFonts w:ascii="Arial" w:hAnsi="Arial" w:cs="Arial"/>
          <w:sz w:val="22"/>
          <w:rtl w:val="1"/>
        </w:rPr>
        <w:t>إذا غبت، تقع عليك مسؤولية متابعة ما فاتك من مادة وتعليمات ومهام.</w:t>
      </w:r>
    </w:p>
    <w:p>
      <w:pPr>
        <w:pStyle w:val="ListBullet"/>
        <w:spacing w:after="80"/>
        <w:ind w:left="0" w:right="0"/>
        <w:jc w:val="right"/>
        <w:bidi w:val="1"/>
      </w:pPr>
      <w:r>
        <w:rPr>
          <w:rFonts w:ascii="Arial" w:hAnsi="Arial" w:cs="Arial"/>
          <w:sz w:val="22"/>
          <w:rtl w:val="1"/>
        </w:rPr>
        <w:t>آخر موعد للانسحاب من مساقات متطلبات الجامعة المكثفة: الخميس 17 أيلول 2026.</w:t>
      </w:r>
    </w:p>
    <w:p>
      <w:pPr>
        <w:pStyle w:val="ListBullet"/>
        <w:spacing w:after="80"/>
        <w:ind w:left="0" w:right="0"/>
        <w:jc w:val="right"/>
        <w:bidi w:val="1"/>
      </w:pPr>
      <w:r>
        <w:rPr>
          <w:rFonts w:ascii="Arial" w:hAnsi="Arial" w:cs="Arial"/>
          <w:sz w:val="22"/>
          <w:rtl w:val="1"/>
        </w:rPr>
        <w:t>آخر يوم للتدريس المكثف: الثلاثاء 22 أيلول 2026.</w:t>
      </w:r>
    </w:p>
    <w:p>
      <w:pPr>
        <w:spacing w:before="200" w:after="120"/>
        <w:jc w:val="right"/>
        <w:bidi w:val="1"/>
      </w:pPr>
      <w:r>
        <w:rPr>
          <w:rFonts w:ascii="Arial" w:hAnsi="Arial" w:cs="Arial"/>
          <w:b/>
          <w:color w:val="1B5A3B"/>
          <w:sz w:val="34"/>
          <w:rtl w:val="1"/>
        </w:rPr>
        <w:t>10. قواعد العمل داخل المحاضرة</w:t>
      </w:r>
    </w:p>
    <w:p>
      <w:pPr>
        <w:pStyle w:val="ListBullet"/>
        <w:spacing w:after="80"/>
        <w:ind w:left="0" w:right="0"/>
        <w:jc w:val="right"/>
        <w:bidi w:val="1"/>
      </w:pPr>
      <w:r>
        <w:rPr>
          <w:rFonts w:ascii="Arial" w:hAnsi="Arial" w:cs="Arial"/>
          <w:sz w:val="22"/>
          <w:rtl w:val="1"/>
        </w:rPr>
        <w:t>الاختلاف في الرأي مقبول؛ التقليل من الآخرين أو السخرية منهم غير مقبول.</w:t>
      </w:r>
    </w:p>
    <w:p>
      <w:pPr>
        <w:pStyle w:val="ListBullet"/>
        <w:spacing w:after="80"/>
        <w:ind w:left="0" w:right="0"/>
        <w:jc w:val="right"/>
        <w:bidi w:val="1"/>
      </w:pPr>
      <w:r>
        <w:rPr>
          <w:rFonts w:ascii="Arial" w:hAnsi="Arial" w:cs="Arial"/>
          <w:sz w:val="22"/>
          <w:rtl w:val="1"/>
        </w:rPr>
        <w:t>استخدم الأجهزة والأدوات الرقمية لخدمة النشاط والتعلّم أثناء اللقاء.</w:t>
      </w:r>
    </w:p>
    <w:p>
      <w:pPr>
        <w:pStyle w:val="ListBullet"/>
        <w:spacing w:after="80"/>
        <w:ind w:left="0" w:right="0"/>
        <w:jc w:val="right"/>
        <w:bidi w:val="1"/>
      </w:pPr>
      <w:r>
        <w:rPr>
          <w:rFonts w:ascii="Arial" w:hAnsi="Arial" w:cs="Arial"/>
          <w:sz w:val="22"/>
          <w:rtl w:val="1"/>
        </w:rPr>
        <w:t>لا تشارك محادثات أو صورًا أو بيانات شخصية لزملائك دون موافقتهم.</w:t>
      </w:r>
    </w:p>
    <w:p>
      <w:pPr>
        <w:pStyle w:val="ListBullet"/>
        <w:spacing w:after="80"/>
        <w:ind w:left="0" w:right="0"/>
        <w:jc w:val="right"/>
        <w:bidi w:val="1"/>
      </w:pPr>
      <w:r>
        <w:rPr>
          <w:rFonts w:ascii="Arial" w:hAnsi="Arial" w:cs="Arial"/>
          <w:sz w:val="22"/>
          <w:rtl w:val="1"/>
        </w:rPr>
        <w:t>عند مناقشة قضايا حساسة أو سياسية أو إعلامية، ميّز بين الرأي والمعلومة والدليل.</w:t>
      </w:r>
    </w:p>
    <w:p>
      <w:pPr>
        <w:pStyle w:val="ListBullet"/>
        <w:spacing w:after="80"/>
        <w:ind w:left="0" w:right="0"/>
        <w:jc w:val="right"/>
        <w:bidi w:val="1"/>
      </w:pPr>
      <w:r>
        <w:rPr>
          <w:rFonts w:ascii="Arial" w:hAnsi="Arial" w:cs="Arial"/>
          <w:sz w:val="22"/>
          <w:rtl w:val="1"/>
        </w:rPr>
        <w:t>اسأل، اختبر، اعترض، واطلب الدليل؛ التفكير النقدي جزء أساسي من المساق.</w:t>
      </w:r>
    </w:p>
    <w:p>
      <w:pPr>
        <w:spacing w:before="200" w:after="120"/>
        <w:jc w:val="right"/>
        <w:bidi w:val="1"/>
      </w:pPr>
      <w:r>
        <w:rPr>
          <w:rFonts w:ascii="Arial" w:hAnsi="Arial" w:cs="Arial"/>
          <w:b/>
          <w:color w:val="1B5A3B"/>
          <w:sz w:val="34"/>
          <w:rtl w:val="1"/>
        </w:rPr>
        <w:t>11. المشروع النهائي: الفكرة العامة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cs="Arial"/>
          <w:b w:val="0"/>
          <w:color w:val="222222"/>
          <w:sz w:val="23"/>
          <w:rtl w:val="1"/>
        </w:rPr>
        <w:t>المشروع النهائي يمثل 50% من العلامة، ويتمحور حول إنتاج حملة رقمية حول قضية مجتمعية فلسطينية باستخدام أدوات الذكاء الاصطناعي بصورة أخلاقية ومسؤولة. ستُشرح متطلبات المشروع التفصيلية ومعايير التقييم خلال المساق.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1ED"/>
            <w:tcMar>
              <w:top w:w="160" w:type="dxa"/>
              <w:start w:w="170" w:type="dxa"/>
              <w:bottom w:w="160" w:type="dxa"/>
              <w:end w:w="170" w:type="dxa"/>
            </w:tcMar>
            <w:vAlign w:val="center"/>
          </w:tcPr>
          <w:p>
            <w:pPr>
              <w:spacing w:after="60"/>
              <w:jc w:val="right"/>
              <w:bidi w:val="1"/>
            </w:pPr>
            <w:r>
              <w:rPr>
                <w:rFonts w:ascii="Arial" w:hAnsi="Arial" w:cs="Arial"/>
                <w:b/>
                <w:color w:val="1B5A3B"/>
                <w:sz w:val="25"/>
                <w:rtl w:val="1"/>
              </w:rPr>
              <w:t>ما الذي سنبحث عنه؟</w:t>
            </w:r>
          </w:p>
          <w:p>
            <w:pPr>
              <w:spacing w:after="0" w:line="300" w:lineRule="auto"/>
              <w:jc w:val="right"/>
              <w:bidi w:val="1"/>
            </w:pPr>
            <w:r>
              <w:rPr>
                <w:rFonts w:ascii="Arial" w:hAnsi="Arial" w:cs="Arial"/>
                <w:color w:val="232323"/>
                <w:sz w:val="22"/>
                <w:rtl w:val="1"/>
              </w:rPr>
              <w:t>وضوح القضية والرسالة، الاستخدام الواعي لأدوات AI، التفكير النقدي، الالتزام الأخلاقي، التحقق، والقدرة على تفسير قراراتك.</w:t>
            </w:r>
          </w:p>
        </w:tc>
      </w:tr>
    </w:tbl>
    <w:p>
      <w:pPr>
        <w:spacing w:after="40"/>
      </w:pPr>
    </w:p>
    <w:p>
      <w:pPr>
        <w:spacing w:before="200" w:after="120"/>
        <w:jc w:val="right"/>
        <w:bidi w:val="1"/>
      </w:pPr>
      <w:r>
        <w:rPr>
          <w:rFonts w:ascii="Arial" w:hAnsi="Arial" w:cs="Arial"/>
          <w:b/>
          <w:color w:val="1B5A3B"/>
          <w:sz w:val="34"/>
          <w:rtl w:val="1"/>
        </w:rPr>
        <w:t>12. مواعيد أكاديمية مهمة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B5A3B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21"/>
                <w:rtl w:val="1"/>
              </w:rPr>
              <w:t>التاريخ</w:t>
            </w:r>
          </w:p>
        </w:tc>
        <w:tc>
          <w:tcPr>
            <w:tcW w:type="dxa" w:w="77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B5A3B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21"/>
                <w:rtl w:val="1"/>
              </w:rPr>
              <w:t>الموعد</w:t>
            </w:r>
          </w:p>
        </w:tc>
      </w:tr>
      <w:tr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 w:val="0"/>
                <w:color w:val="232323"/>
                <w:sz w:val="20"/>
                <w:rtl w:val="1"/>
              </w:rPr>
              <w:t>7 أيلول 2026</w:t>
            </w:r>
          </w:p>
        </w:tc>
        <w:tc>
          <w:tcPr>
            <w:tcW w:type="dxa" w:w="77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232323"/>
                <w:sz w:val="20"/>
                <w:rtl w:val="1"/>
              </w:rPr>
              <w:t>بدء التدريس المكثف لمساقات متطلبات الجامعة.</w:t>
            </w:r>
          </w:p>
        </w:tc>
      </w:tr>
      <w:tr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 w:val="0"/>
                <w:color w:val="232323"/>
                <w:sz w:val="20"/>
                <w:rtl w:val="1"/>
              </w:rPr>
              <w:t>9 أيلول 2026</w:t>
            </w:r>
          </w:p>
        </w:tc>
        <w:tc>
          <w:tcPr>
            <w:tcW w:type="dxa" w:w="77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232323"/>
                <w:sz w:val="20"/>
                <w:rtl w:val="1"/>
              </w:rPr>
              <w:t>بدء فترة الانسحاب من مساقات متطلبات الجامعة.</w:t>
            </w:r>
          </w:p>
        </w:tc>
      </w:tr>
      <w:tr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 w:val="0"/>
                <w:color w:val="232323"/>
                <w:sz w:val="20"/>
                <w:rtl w:val="1"/>
              </w:rPr>
              <w:t>17 أيلول 2026</w:t>
            </w:r>
          </w:p>
        </w:tc>
        <w:tc>
          <w:tcPr>
            <w:tcW w:type="dxa" w:w="77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232323"/>
                <w:sz w:val="20"/>
                <w:rtl w:val="1"/>
              </w:rPr>
              <w:t>آخر موعد للانسحاب من مساقات متطلبات الجامعة.</w:t>
            </w:r>
          </w:p>
        </w:tc>
      </w:tr>
      <w:tr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 w:val="0"/>
                <w:color w:val="232323"/>
                <w:sz w:val="20"/>
                <w:rtl w:val="1"/>
              </w:rPr>
              <w:t>22 أيلول 2026</w:t>
            </w:r>
          </w:p>
        </w:tc>
        <w:tc>
          <w:tcPr>
            <w:tcW w:type="dxa" w:w="77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232323"/>
                <w:sz w:val="20"/>
                <w:rtl w:val="1"/>
              </w:rPr>
              <w:t>آخر يوم للتدريس المكثف.</w:t>
            </w:r>
          </w:p>
        </w:tc>
      </w:tr>
      <w:tr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 w:val="0"/>
                <w:color w:val="232323"/>
                <w:sz w:val="20"/>
                <w:rtl w:val="1"/>
              </w:rPr>
              <w:t>26 أيلول 2026</w:t>
            </w:r>
          </w:p>
        </w:tc>
        <w:tc>
          <w:tcPr>
            <w:tcW w:type="dxa" w:w="77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232323"/>
                <w:sz w:val="20"/>
                <w:rtl w:val="1"/>
              </w:rPr>
              <w:t>آخر يوم لتسليم علامات مساقات متطلبات الجامعة.</w:t>
            </w:r>
          </w:p>
        </w:tc>
      </w:tr>
      <w:tr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 w:val="0"/>
                <w:color w:val="232323"/>
                <w:sz w:val="20"/>
                <w:rtl w:val="1"/>
              </w:rPr>
              <w:t>28 أيلول 2026</w:t>
            </w:r>
          </w:p>
        </w:tc>
        <w:tc>
          <w:tcPr>
            <w:tcW w:type="dxa" w:w="77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232323"/>
                <w:sz w:val="20"/>
                <w:rtl w:val="1"/>
              </w:rPr>
              <w:t>آخر موعد لاستكمال علامة غير مكتمل (I) لمساقات متطلبات الجامعة.</w:t>
            </w:r>
          </w:p>
        </w:tc>
      </w:tr>
    </w:tbl>
    <w:p>
      <w:r>
        <w:br w:type="page"/>
      </w:r>
    </w:p>
    <w:p>
      <w:pPr>
        <w:spacing w:before="200" w:after="120"/>
        <w:jc w:val="right"/>
        <w:bidi w:val="1"/>
      </w:pPr>
      <w:r>
        <w:rPr>
          <w:rFonts w:ascii="Arial" w:hAnsi="Arial" w:cs="Arial"/>
          <w:b/>
          <w:color w:val="1B5A3B"/>
          <w:sz w:val="34"/>
          <w:rtl w:val="1"/>
        </w:rPr>
        <w:t>13. مصادر وسياسات مرجعية</w:t>
      </w:r>
    </w:p>
    <w:p>
      <w:pPr>
        <w:pStyle w:val="ListBullet"/>
        <w:spacing w:after="80"/>
        <w:ind w:left="0" w:right="0"/>
        <w:jc w:val="right"/>
        <w:bidi w:val="1"/>
      </w:pPr>
      <w:r>
        <w:rPr>
          <w:rFonts w:ascii="Arial" w:hAnsi="Arial" w:cs="Arial"/>
          <w:sz w:val="22"/>
          <w:rtl w:val="1"/>
        </w:rPr>
        <w:t>خطة مساق UNIV1110 للفترة الصيفية 2026/2027.</w:t>
      </w:r>
    </w:p>
    <w:p>
      <w:pPr>
        <w:pStyle w:val="ListBullet"/>
        <w:spacing w:after="80"/>
        <w:ind w:left="0" w:right="0"/>
        <w:jc w:val="right"/>
        <w:bidi w:val="1"/>
      </w:pPr>
      <w:r>
        <w:rPr>
          <w:rFonts w:ascii="Arial" w:hAnsi="Arial" w:cs="Arial"/>
          <w:sz w:val="22"/>
          <w:rtl w:val="1"/>
        </w:rPr>
        <w:t>سياسات الذكاء الاصطناعي في جامعة بيرزيت، قرار مجلس الجامعة بتاريخ 19/5/2026.</w:t>
      </w:r>
    </w:p>
    <w:p>
      <w:pPr>
        <w:pStyle w:val="ListBullet"/>
        <w:spacing w:after="80"/>
        <w:ind w:left="0" w:right="0"/>
        <w:jc w:val="right"/>
        <w:bidi w:val="1"/>
      </w:pPr>
      <w:r>
        <w:rPr>
          <w:rFonts w:ascii="Arial" w:hAnsi="Arial" w:cs="Arial"/>
          <w:sz w:val="22"/>
          <w:rtl w:val="1"/>
        </w:rPr>
        <w:t>المادة التعليمية الرسمية للمساق: All10 Sessions — UNIV1110.</w:t>
      </w:r>
    </w:p>
    <w:p>
      <w:pPr>
        <w:pStyle w:val="ListBullet"/>
        <w:spacing w:after="80"/>
        <w:ind w:left="0" w:right="0"/>
        <w:jc w:val="right"/>
        <w:bidi w:val="1"/>
      </w:pPr>
      <w:r>
        <w:rPr>
          <w:rFonts w:ascii="Arial" w:hAnsi="Arial" w:cs="Arial"/>
          <w:sz w:val="22"/>
          <w:rtl w:val="1"/>
        </w:rPr>
        <w:t>توصية اليونسكو بشأن أخلاقيات الذكاء الاصطناعي.</w:t>
      </w:r>
    </w:p>
    <w:p>
      <w:pPr>
        <w:pStyle w:val="ListBullet"/>
        <w:spacing w:after="80"/>
        <w:ind w:left="0" w:right="0"/>
        <w:jc w:val="right"/>
        <w:bidi w:val="1"/>
      </w:pPr>
      <w:r>
        <w:rPr>
          <w:rFonts w:ascii="Arial" w:hAnsi="Arial" w:cs="Arial"/>
          <w:sz w:val="22"/>
          <w:rtl w:val="1"/>
        </w:rPr>
        <w:t>ميثاق الألكسو لأخلاقيات الذكاء الاصطناعي.</w:t>
      </w:r>
    </w:p>
    <w:p>
      <w:pPr>
        <w:spacing w:before="200" w:after="120"/>
        <w:jc w:val="right"/>
        <w:bidi w:val="1"/>
      </w:pPr>
      <w:r>
        <w:rPr>
          <w:rFonts w:ascii="Arial" w:hAnsi="Arial" w:cs="Arial"/>
          <w:b/>
          <w:color w:val="1B5A3B"/>
          <w:sz w:val="34"/>
          <w:rtl w:val="1"/>
        </w:rPr>
        <w:t>14. قبل أول لقاء — تذكّر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0E6"/>
            <w:tcMar>
              <w:top w:w="160" w:type="dxa"/>
              <w:start w:w="170" w:type="dxa"/>
              <w:bottom w:w="160" w:type="dxa"/>
              <w:end w:w="170" w:type="dxa"/>
            </w:tcMar>
            <w:vAlign w:val="center"/>
          </w:tcPr>
          <w:p>
            <w:pPr>
              <w:spacing w:after="60"/>
              <w:jc w:val="right"/>
              <w:bidi w:val="1"/>
            </w:pPr>
            <w:r>
              <w:rPr>
                <w:rFonts w:ascii="Arial" w:hAnsi="Arial" w:cs="Arial"/>
                <w:b/>
                <w:color w:val="845C2B"/>
                <w:sz w:val="25"/>
                <w:rtl w:val="1"/>
              </w:rPr>
              <w:t>ثلاث قواعد تختصر المساق</w:t>
            </w:r>
          </w:p>
          <w:p>
            <w:pPr>
              <w:spacing w:after="0" w:line="300" w:lineRule="auto"/>
              <w:jc w:val="right"/>
              <w:bidi w:val="1"/>
            </w:pPr>
            <w:r>
              <w:rPr>
                <w:rFonts w:ascii="Arial" w:hAnsi="Arial" w:cs="Arial"/>
                <w:color w:val="232323"/>
                <w:sz w:val="22"/>
                <w:rtl w:val="1"/>
              </w:rPr>
              <w:t>1) لا تثق بالمخرج لأنه مكتوب بثقة.  2) لا تستخدم AI بدل تفكيرك.  3) لا تستخدمه دون مسؤولية وإفصاح عندما يكون ذلك مطلوبًا.</w:t>
            </w:r>
          </w:p>
        </w:tc>
      </w:tr>
    </w:tbl>
    <w:p>
      <w:pPr>
        <w:spacing w:after="40"/>
      </w:pPr>
    </w:p>
    <w:p>
      <w:pPr>
        <w:spacing w:before="200" w:after="120" w:line="300" w:lineRule="auto"/>
        <w:jc w:val="center"/>
        <w:bidi w:val="1"/>
      </w:pPr>
      <w:r>
        <w:rPr>
          <w:rFonts w:ascii="Arial" w:hAnsi="Arial" w:cs="Arial"/>
          <w:b/>
          <w:color w:val="1B5A3B"/>
          <w:sz w:val="24"/>
          <w:rtl w:val="1"/>
        </w:rPr>
        <w:t>أهلًا بك في المساق. الهدف ليس أن تخرج منه مستخدمًا أكثر للذكاء الاصطناعي فحسب، بل مستخدمًا أذكى وأكثر وعيًا ومسؤولية.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 w:val="1"/>
    </w:pPr>
    <w:r>
      <w:rPr>
        <w:rFonts w:ascii="Arial" w:hAnsi="Arial" w:cs="Arial"/>
        <w:color w:val="787878"/>
        <w:sz w:val="17"/>
        <w:rtl w:val="1"/>
      </w:rPr>
      <w:t xml:space="preserve">UNIV1110 | دليل الطالب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UNIV1110 Student Course Guide</dc:title>
  <dc:subject>Artificial Intelligence and Media Literacy - Birzeit University</dc:subject>
  <dc:creator>Birzeit University - UNIV1110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