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07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При покупке бриллиантов в "Gems Treasury" диалоговое окно "Payment Time Out" содержит текст с html кодом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“+” рядом с бриллиантом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“Gems Treasury” нажать на кнопку с ценой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 </w:t>
      </w:r>
      <w:r w:rsidDel="00000000" w:rsidR="00000000" w:rsidRPr="00000000">
        <w:rPr>
          <w:sz w:val="24"/>
          <w:szCs w:val="24"/>
          <w:rtl w:val="0"/>
        </w:rPr>
        <w:t xml:space="preserve">При покупке бриллиантов в "Gems Treasury" диалоговое окно "Payment Time Out" содержит текст с html кодом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BR-7.mp4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6dROEJxZPGsq9nLKk0zk-dY_ksNDXh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