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40"/>
        </w:rPr>
        <w:t>Project FALCON Sensor Power and Visibility Approval List</w:t>
      </w:r>
    </w:p>
    <w:p>
      <w:pPr>
        <w:jc w:val="center"/>
      </w:pPr>
      <w:r>
        <w:rPr>
          <w:rFonts w:ascii="Arial" w:hAnsi="Arial"/>
          <w:sz w:val="22"/>
        </w:rPr>
        <w:t>Printable panel handout for revised compact event driven buoy proposal</w:t>
      </w:r>
    </w:p>
    <w:p>
      <w:pPr>
        <w:jc w:val="center"/>
      </w:pPr>
      <w:r>
        <w:rPr>
          <w:rFonts w:ascii="Arial" w:hAnsi="Arial"/>
          <w:sz w:val="19"/>
        </w:rPr>
        <w:t>Prepared for proposal validation | 11 October 2026 | Prices must be reconfirmed before purchase</w:t>
      </w:r>
    </w:p>
    <w:p>
      <w:pPr>
        <w:spacing w:before="200" w:after="120"/>
      </w:pPr>
      <w:r>
        <w:rPr>
          <w:b/>
          <w:sz w:val="20"/>
        </w:rPr>
        <w:t xml:space="preserve">Main recommendation: </w:t>
      </w:r>
      <w:r>
        <w:rPr>
          <w:sz w:val="20"/>
        </w:rPr>
        <w:t>approve the low cost field validation package in stages. Confirm the water pressure sensor first, then validate the power budget using the ESP32, internet module, GPS, wind sensor, pressure interface, battery, solar panel, and flashing beacon current draw.</w:t>
      </w:r>
    </w:p>
    <w:p>
      <w:pPr>
        <w:spacing w:before="200" w:after="100"/>
      </w:pPr>
      <w:r>
        <w:rPr>
          <w:rFonts w:ascii="Arial" w:hAnsi="Arial"/>
          <w:b/>
          <w:color w:val="000000"/>
          <w:sz w:val="26"/>
        </w:rPr>
        <w:t>Quantity list for approval</w:t>
      </w:r>
    </w:p>
    <w:tbl>
      <w:tblPr>
        <w:tblStyle w:val="TableGrid"/>
        <w:tblW w:type="auto" w:w="0"/>
        <w:jc w:val="center"/>
        <w:tblLook w:firstColumn="1" w:firstRow="1" w:lastColumn="0" w:lastRow="0" w:noHBand="0" w:noVBand="1" w:val="04A0"/>
      </w:tblPr>
      <w:tblGrid>
        <w:gridCol w:w="2664"/>
        <w:gridCol w:w="2664"/>
        <w:gridCol w:w="2664"/>
        <w:gridCol w:w="2664"/>
      </w:tblGrid>
      <w:tr>
        <w:trPr>
          <w:tblHeade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5F"/>
          </w:tcPr>
          <w:p>
            <w:pPr>
              <w:spacing w:after="0"/>
              <w:jc w:val="left"/>
            </w:pPr>
            <w:r>
              <w:rPr>
                <w:color w:val="FFFFFF"/>
              </w:rPr>
            </w:r>
            <w:r>
              <w:rPr>
                <w:rFonts w:ascii="Arial" w:hAnsi="Arial"/>
                <w:b/>
                <w:color w:val="FFFFFF"/>
                <w:sz w:val="17"/>
              </w:rPr>
              <w:t>Item</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5F"/>
          </w:tcPr>
          <w:p>
            <w:pPr>
              <w:spacing w:after="0"/>
              <w:jc w:val="left"/>
            </w:pPr>
            <w:r>
              <w:rPr>
                <w:color w:val="FFFFFF"/>
              </w:rPr>
            </w:r>
            <w:r>
              <w:rPr>
                <w:rFonts w:ascii="Arial" w:hAnsi="Arial"/>
                <w:b/>
                <w:color w:val="FFFFFF"/>
                <w:sz w:val="17"/>
              </w:rPr>
              <w:t>Quantity</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5F"/>
          </w:tcPr>
          <w:p>
            <w:pPr>
              <w:spacing w:after="0"/>
              <w:jc w:val="left"/>
            </w:pPr>
            <w:r>
              <w:rPr>
                <w:color w:val="FFFFFF"/>
              </w:rPr>
            </w:r>
            <w:r>
              <w:rPr>
                <w:rFonts w:ascii="Arial" w:hAnsi="Arial"/>
                <w:b/>
                <w:color w:val="FFFFFF"/>
                <w:sz w:val="17"/>
              </w:rPr>
              <w:t>Purpose</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5F"/>
          </w:tcPr>
          <w:p>
            <w:pPr>
              <w:spacing w:after="0"/>
              <w:jc w:val="left"/>
            </w:pPr>
            <w:r>
              <w:rPr>
                <w:color w:val="FFFFFF"/>
              </w:rPr>
            </w:r>
            <w:r>
              <w:rPr>
                <w:rFonts w:ascii="Arial" w:hAnsi="Arial"/>
                <w:b/>
                <w:color w:val="FFFFFF"/>
                <w:sz w:val="17"/>
              </w:rPr>
              <w:t>Panel note</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Water pressure transmitter</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1 pc</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Core wave/pressure input</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Buy first after seller confirms low range, waterproof rating, and output type.</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ADS1115 + shunt/protection parts</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1 set</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Pressure signal interface</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Needed if pressure sensor is 4-20 mA.</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Wind speed + direction sensor</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1 pc</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Wind condition data</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Prefer combined speed and direction to reduce mast parts.</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GPS / GNSS module</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1 pc</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Position and security</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Needs clear sky view.</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INA219 power monitor</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1 pc</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Power budget validation</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Measures current, voltage, and charging trend.</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Rechargeable battery pack with BMS</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1 pack</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Main power source</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Final capacity depends on measured load.</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Compact solar panel</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1 pc 3W-5W preferred or 2-4 pcs 0.99W</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Solar charging support</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One 0.99W panel is trickle/design only.</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Solar charger / BMS interface</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1 set</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Safe charging path</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Required between panel and battery.</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Flashing marine warning light / buoy beacon</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1 pc needed; 2 pcs if buying bundle</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Night marker and safety warning</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Use flashing waterproof beacon, not area light.</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Internet module</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1 pc only if no stable Wi-Fi</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Cloud upload</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Use Wi-Fi first; buy LTE only if needed.</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MPU6050 tilt/motion sensor</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1 pc optional</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Tilt or motion event support</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Optional; not a pressure replacement.</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SW-420 vibration sensor</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1 pc optional</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Hit/tamper trigger</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Optional security/event input.</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Reed switch / magnetic switch</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1 pc optional</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Lid-open security trigger</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A"/>
          </w:tcPr>
          <w:p>
            <w:pPr>
              <w:spacing w:after="0"/>
              <w:jc w:val="left"/>
            </w:pPr>
            <w:r/>
            <w:r>
              <w:rPr>
                <w:rFonts w:ascii="Arial" w:hAnsi="Arial"/>
                <w:b w:val="0"/>
                <w:sz w:val="16"/>
              </w:rPr>
              <w:t>Optional enclosure tamper sensor.</w:t>
            </w:r>
          </w:p>
        </w:tc>
      </w:tr>
      <w:tr>
        <w:trPr>
          <w:cantSplit/>
        </w:trP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microSD module + card</w:t>
            </w:r>
          </w:p>
        </w:tc>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1 set optional</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Data backup</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FFFFF"/>
          </w:tcPr>
          <w:p>
            <w:pPr>
              <w:spacing w:after="0"/>
              <w:jc w:val="left"/>
            </w:pPr>
            <w:r/>
            <w:r>
              <w:rPr>
                <w:rFonts w:ascii="Arial" w:hAnsi="Arial"/>
                <w:b w:val="0"/>
                <w:sz w:val="16"/>
              </w:rPr>
              <w:t>Recommended when internet is weak.</w:t>
            </w:r>
          </w:p>
        </w:tc>
      </w:tr>
    </w:tbl>
    <w:p>
      <w:r>
        <w:br w:type="page"/>
      </w:r>
    </w:p>
    <w:p>
      <w:pPr>
        <w:spacing w:before="200" w:after="100"/>
      </w:pPr>
      <w:r>
        <w:rPr>
          <w:rFonts w:ascii="Arial" w:hAnsi="Arial"/>
          <w:b/>
          <w:color w:val="000000"/>
          <w:sz w:val="32"/>
        </w:rPr>
        <w:t>Equipment cards for panel approval</w:t>
      </w:r>
    </w:p>
    <w:tbl>
      <w:tblPr>
        <w:tblStyle w:val="TableGrid"/>
        <w:tblW w:type="auto" w:w="0"/>
        <w:jc w:val="center"/>
        <w:tblLook w:firstColumn="1" w:firstRow="1" w:lastColumn="0" w:lastRow="0" w:noHBand="0" w:noVBand="1" w:val="04A0"/>
      </w:tblPr>
      <w:tblGrid>
        <w:gridCol w:w="5328"/>
        <w:gridCol w:w="5328"/>
      </w:tblGrid>
      <w:tr>
        <w:trPr>
          <w:cantSplit/>
        </w:trPr>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shd w:fill="F3F6F8"/>
          </w:tcPr>
          <w:p>
            <w:pPr>
              <w:jc w:val="center"/>
            </w:pPr>
            <w:r>
              <w:drawing>
                <wp:inline xmlns:a="http://schemas.openxmlformats.org/drawingml/2006/main" xmlns:pic="http://schemas.openxmlformats.org/drawingml/2006/picture">
                  <wp:extent cx="1508760" cy="1047567"/>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508760" cy="1047567"/>
                          </a:xfrm>
                          <a:prstGeom prst="rect"/>
                        </pic:spPr>
                      </pic:pic>
                    </a:graphicData>
                  </a:graphic>
                </wp:inline>
              </w:drawing>
            </w:r>
          </w:p>
        </w:tc>
        <w:tc>
          <w:tcPr>
            <w:tcW w:type="dxa" w:w="59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40"/>
            </w:pPr>
            <w:r/>
            <w:r>
              <w:rPr>
                <w:rFonts w:ascii="Arial" w:hAnsi="Arial"/>
                <w:b/>
                <w:sz w:val="21"/>
              </w:rPr>
              <w:t>Water pressure and wave input</w:t>
            </w:r>
          </w:p>
          <w:p>
            <w:pPr>
              <w:spacing w:after="0"/>
            </w:pPr>
            <w:r>
              <w:rPr>
                <w:b/>
                <w:sz w:val="17"/>
              </w:rPr>
              <w:t xml:space="preserve">Group: </w:t>
            </w:r>
            <w:r>
              <w:rPr>
                <w:sz w:val="17"/>
              </w:rPr>
              <w:t>Core sensor</w:t>
            </w:r>
          </w:p>
          <w:p>
            <w:pPr>
              <w:spacing w:after="0"/>
            </w:pPr>
            <w:r>
              <w:rPr>
                <w:b/>
                <w:sz w:val="17"/>
              </w:rPr>
              <w:t xml:space="preserve">Priority: </w:t>
            </w:r>
            <w:r>
              <w:rPr>
                <w:sz w:val="17"/>
              </w:rPr>
              <w:t>Required</w:t>
            </w:r>
          </w:p>
          <w:p>
            <w:pPr>
              <w:spacing w:after="0"/>
            </w:pPr>
            <w:r>
              <w:rPr>
                <w:b/>
                <w:sz w:val="17"/>
              </w:rPr>
              <w:t xml:space="preserve">Recommended item: </w:t>
            </w:r>
            <w:r>
              <w:rPr>
                <w:sz w:val="17"/>
              </w:rPr>
              <w:t>Low range submersible hydrostatic level transmitter, 4-20 mA preferred, target 0-1 mH2O or 0-2 mH2O.</w:t>
            </w:r>
          </w:p>
          <w:p>
            <w:pPr>
              <w:spacing w:after="0"/>
            </w:pPr>
            <w:r>
              <w:rPr>
                <w:b/>
                <w:sz w:val="17"/>
              </w:rPr>
              <w:t xml:space="preserve">Planning price: </w:t>
            </w:r>
            <w:r>
              <w:rPr>
                <w:sz w:val="17"/>
              </w:rPr>
              <w:t>PHP 2,897-3,720 typical; lower listings around PHP 1,471 need stricter verification.</w:t>
            </w:r>
          </w:p>
          <w:p>
            <w:pPr>
              <w:spacing w:after="0"/>
            </w:pPr>
            <w:r>
              <w:rPr>
                <w:b/>
                <w:sz w:val="17"/>
              </w:rPr>
              <w:t xml:space="preserve">Buy from or verify at: </w:t>
            </w:r>
            <w:r>
              <w:rPr>
                <w:sz w:val="17"/>
              </w:rPr>
              <w:t>Lazada QDY30A / hydrostatic transmitter listings; confirm low range, IP68, material, cable, and output.</w:t>
            </w:r>
          </w:p>
          <w:p>
            <w:pPr>
              <w:spacing w:after="0"/>
            </w:pPr>
            <w:r>
              <w:rPr>
                <w:b/>
                <w:sz w:val="17"/>
              </w:rPr>
              <w:t xml:space="preserve">Approval note: </w:t>
            </w:r>
            <w:r>
              <w:rPr>
                <w:sz w:val="17"/>
              </w:rPr>
              <w:t>Approve first. This is the main research sensor. Avoid automotive, pump, rain, ultrasonic, or float sensors as replacements.</w:t>
            </w:r>
          </w:p>
        </w:tc>
      </w:tr>
    </w:tbl>
    <w:p>
      <w:pPr>
        <w:spacing w:after="60"/>
      </w:pPr>
    </w:p>
    <w:tbl>
      <w:tblPr>
        <w:tblStyle w:val="TableGrid"/>
        <w:tblW w:type="auto" w:w="0"/>
        <w:jc w:val="center"/>
        <w:tblLook w:firstColumn="1" w:firstRow="1" w:lastColumn="0" w:lastRow="0" w:noHBand="0" w:noVBand="1" w:val="04A0"/>
      </w:tblPr>
      <w:tblGrid>
        <w:gridCol w:w="5328"/>
        <w:gridCol w:w="5328"/>
      </w:tblGrid>
      <w:tr>
        <w:trPr>
          <w:cantSplit/>
        </w:trPr>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shd w:fill="F3F6F8"/>
          </w:tcPr>
          <w:p>
            <w:pPr>
              <w:jc w:val="center"/>
            </w:pPr>
            <w:r>
              <w:drawing>
                <wp:inline xmlns:a="http://schemas.openxmlformats.org/drawingml/2006/main" xmlns:pic="http://schemas.openxmlformats.org/drawingml/2006/picture">
                  <wp:extent cx="1508760" cy="1047567"/>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1508760" cy="1047567"/>
                          </a:xfrm>
                          <a:prstGeom prst="rect"/>
                        </pic:spPr>
                      </pic:pic>
                    </a:graphicData>
                  </a:graphic>
                </wp:inline>
              </w:drawing>
            </w:r>
          </w:p>
        </w:tc>
        <w:tc>
          <w:tcPr>
            <w:tcW w:type="dxa" w:w="59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40"/>
            </w:pPr>
            <w:r/>
            <w:r>
              <w:rPr>
                <w:rFonts w:ascii="Arial" w:hAnsi="Arial"/>
                <w:b/>
                <w:sz w:val="21"/>
              </w:rPr>
              <w:t>Pressure signal interface</w:t>
            </w:r>
          </w:p>
          <w:p>
            <w:pPr>
              <w:spacing w:after="0"/>
            </w:pPr>
            <w:r>
              <w:rPr>
                <w:b/>
                <w:sz w:val="17"/>
              </w:rPr>
              <w:t xml:space="preserve">Group: </w:t>
            </w:r>
            <w:r>
              <w:rPr>
                <w:sz w:val="17"/>
              </w:rPr>
              <w:t>Interface</w:t>
            </w:r>
          </w:p>
          <w:p>
            <w:pPr>
              <w:spacing w:after="0"/>
            </w:pPr>
            <w:r>
              <w:rPr>
                <w:b/>
                <w:sz w:val="17"/>
              </w:rPr>
              <w:t xml:space="preserve">Priority: </w:t>
            </w:r>
            <w:r>
              <w:rPr>
                <w:sz w:val="17"/>
              </w:rPr>
              <w:t>Required interface</w:t>
            </w:r>
          </w:p>
          <w:p>
            <w:pPr>
              <w:spacing w:after="0"/>
            </w:pPr>
            <w:r>
              <w:rPr>
                <w:b/>
                <w:sz w:val="17"/>
              </w:rPr>
              <w:t xml:space="preserve">Recommended item: </w:t>
            </w:r>
            <w:r>
              <w:rPr>
                <w:sz w:val="17"/>
              </w:rPr>
              <w:t>ADS1115 16-bit ADC plus 150 ohm precision shunt, RC filter, and protection parts.</w:t>
            </w:r>
          </w:p>
          <w:p>
            <w:pPr>
              <w:spacing w:after="0"/>
            </w:pPr>
            <w:r>
              <w:rPr>
                <w:b/>
                <w:sz w:val="17"/>
              </w:rPr>
              <w:t xml:space="preserve">Planning price: </w:t>
            </w:r>
            <w:r>
              <w:rPr>
                <w:sz w:val="17"/>
              </w:rPr>
              <w:t>PHP 135-290 for ADS1115; add PHP 100-250 for shunt and protection parts.</w:t>
            </w:r>
          </w:p>
          <w:p>
            <w:pPr>
              <w:spacing w:after="0"/>
            </w:pPr>
            <w:r>
              <w:rPr>
                <w:b/>
                <w:sz w:val="17"/>
              </w:rPr>
              <w:t xml:space="preserve">Buy from or verify at: </w:t>
            </w:r>
            <w:r>
              <w:rPr>
                <w:sz w:val="17"/>
              </w:rPr>
              <w:t>Lazada ADS1115 listings and local electronics shops.</w:t>
            </w:r>
          </w:p>
          <w:p>
            <w:pPr>
              <w:spacing w:after="0"/>
            </w:pPr>
            <w:r>
              <w:rPr>
                <w:b/>
                <w:sz w:val="17"/>
              </w:rPr>
              <w:t xml:space="preserve">Approval note: </w:t>
            </w:r>
            <w:r>
              <w:rPr>
                <w:sz w:val="17"/>
              </w:rPr>
              <w:t>Approve with the pressure sensor. ESP32 cannot directly read a 4-20 mA loop without interface parts.</w:t>
            </w:r>
          </w:p>
        </w:tc>
      </w:tr>
    </w:tbl>
    <w:p>
      <w:pPr>
        <w:spacing w:after="60"/>
      </w:pPr>
    </w:p>
    <w:tbl>
      <w:tblPr>
        <w:tblStyle w:val="TableGrid"/>
        <w:tblW w:type="auto" w:w="0"/>
        <w:jc w:val="center"/>
        <w:tblLook w:firstColumn="1" w:firstRow="1" w:lastColumn="0" w:lastRow="0" w:noHBand="0" w:noVBand="1" w:val="04A0"/>
      </w:tblPr>
      <w:tblGrid>
        <w:gridCol w:w="5328"/>
        <w:gridCol w:w="5328"/>
      </w:tblGrid>
      <w:tr>
        <w:trPr>
          <w:cantSplit/>
        </w:trPr>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shd w:fill="F3F6F8"/>
          </w:tcPr>
          <w:p>
            <w:pPr>
              <w:jc w:val="center"/>
            </w:pPr>
            <w:r>
              <w:drawing>
                <wp:inline xmlns:a="http://schemas.openxmlformats.org/drawingml/2006/main" xmlns:pic="http://schemas.openxmlformats.org/drawingml/2006/picture">
                  <wp:extent cx="1508760" cy="1047567"/>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1508760" cy="1047567"/>
                          </a:xfrm>
                          <a:prstGeom prst="rect"/>
                        </pic:spPr>
                      </pic:pic>
                    </a:graphicData>
                  </a:graphic>
                </wp:inline>
              </w:drawing>
            </w:r>
          </w:p>
        </w:tc>
        <w:tc>
          <w:tcPr>
            <w:tcW w:type="dxa" w:w="59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40"/>
            </w:pPr>
            <w:r/>
            <w:r>
              <w:rPr>
                <w:rFonts w:ascii="Arial" w:hAnsi="Arial"/>
                <w:b/>
                <w:sz w:val="21"/>
              </w:rPr>
              <w:t>Wind speed and direction</w:t>
            </w:r>
          </w:p>
          <w:p>
            <w:pPr>
              <w:spacing w:after="0"/>
            </w:pPr>
            <w:r>
              <w:rPr>
                <w:b/>
                <w:sz w:val="17"/>
              </w:rPr>
              <w:t xml:space="preserve">Group: </w:t>
            </w:r>
            <w:r>
              <w:rPr>
                <w:sz w:val="17"/>
              </w:rPr>
              <w:t>Core sensor</w:t>
            </w:r>
          </w:p>
          <w:p>
            <w:pPr>
              <w:spacing w:after="0"/>
            </w:pPr>
            <w:r>
              <w:rPr>
                <w:b/>
                <w:sz w:val="17"/>
              </w:rPr>
              <w:t xml:space="preserve">Priority: </w:t>
            </w:r>
            <w:r>
              <w:rPr>
                <w:sz w:val="17"/>
              </w:rPr>
              <w:t>Required</w:t>
            </w:r>
          </w:p>
          <w:p>
            <w:pPr>
              <w:spacing w:after="0"/>
            </w:pPr>
            <w:r>
              <w:rPr>
                <w:b/>
                <w:sz w:val="17"/>
              </w:rPr>
              <w:t xml:space="preserve">Recommended item: </w:t>
            </w:r>
            <w:r>
              <w:rPr>
                <w:sz w:val="17"/>
              </w:rPr>
              <w:t>Combined cup anemometer plus wind direction vane; RS485, 0-5 V, or 4-20 mA output preferred.</w:t>
            </w:r>
          </w:p>
          <w:p>
            <w:pPr>
              <w:spacing w:after="0"/>
            </w:pPr>
            <w:r>
              <w:rPr>
                <w:b/>
                <w:sz w:val="17"/>
              </w:rPr>
              <w:t xml:space="preserve">Planning price: </w:t>
            </w:r>
            <w:r>
              <w:rPr>
                <w:sz w:val="17"/>
              </w:rPr>
              <w:t>Low cost combined listings around PHP 1,204-1,639; industrial units around PHP 3,666-9,282.</w:t>
            </w:r>
          </w:p>
          <w:p>
            <w:pPr>
              <w:spacing w:after="0"/>
            </w:pPr>
            <w:r>
              <w:rPr>
                <w:b/>
                <w:sz w:val="17"/>
              </w:rPr>
              <w:t xml:space="preserve">Buy from or verify at: </w:t>
            </w:r>
            <w:r>
              <w:rPr>
                <w:sz w:val="17"/>
              </w:rPr>
              <w:t>Shopee/Lazada anemometer listings; confirm it includes both speed and direction.</w:t>
            </w:r>
          </w:p>
          <w:p>
            <w:pPr>
              <w:spacing w:after="0"/>
            </w:pPr>
            <w:r>
              <w:rPr>
                <w:b/>
                <w:sz w:val="17"/>
              </w:rPr>
              <w:t xml:space="preserve">Approval note: </w:t>
            </w:r>
            <w:r>
              <w:rPr>
                <w:sz w:val="17"/>
              </w:rPr>
              <w:t>Approve low-cost combined model first. If only wind speed is included, mark wind direction as pending or buy a separate vane.</w:t>
            </w:r>
          </w:p>
        </w:tc>
      </w:tr>
    </w:tbl>
    <w:p>
      <w:pPr>
        <w:spacing w:after="60"/>
      </w:pPr>
    </w:p>
    <w:tbl>
      <w:tblPr>
        <w:tblStyle w:val="TableGrid"/>
        <w:tblW w:type="auto" w:w="0"/>
        <w:jc w:val="center"/>
        <w:tblLook w:firstColumn="1" w:firstRow="1" w:lastColumn="0" w:lastRow="0" w:noHBand="0" w:noVBand="1" w:val="04A0"/>
      </w:tblPr>
      <w:tblGrid>
        <w:gridCol w:w="5328"/>
        <w:gridCol w:w="5328"/>
      </w:tblGrid>
      <w:tr>
        <w:trPr>
          <w:cantSplit/>
        </w:trPr>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shd w:fill="F3F6F8"/>
          </w:tcPr>
          <w:p>
            <w:pPr>
              <w:jc w:val="center"/>
            </w:pPr>
            <w:r>
              <w:drawing>
                <wp:inline xmlns:a="http://schemas.openxmlformats.org/drawingml/2006/main" xmlns:pic="http://schemas.openxmlformats.org/drawingml/2006/picture">
                  <wp:extent cx="1508760" cy="1047567"/>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1508760" cy="1047567"/>
                          </a:xfrm>
                          <a:prstGeom prst="rect"/>
                        </pic:spPr>
                      </pic:pic>
                    </a:graphicData>
                  </a:graphic>
                </wp:inline>
              </w:drawing>
            </w:r>
          </w:p>
        </w:tc>
        <w:tc>
          <w:tcPr>
            <w:tcW w:type="dxa" w:w="59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40"/>
            </w:pPr>
            <w:r/>
            <w:r>
              <w:rPr>
                <w:rFonts w:ascii="Arial" w:hAnsi="Arial"/>
                <w:b/>
                <w:sz w:val="21"/>
              </w:rPr>
              <w:t>GPS position and security</w:t>
            </w:r>
          </w:p>
          <w:p>
            <w:pPr>
              <w:spacing w:after="0"/>
            </w:pPr>
            <w:r>
              <w:rPr>
                <w:b/>
                <w:sz w:val="17"/>
              </w:rPr>
              <w:t xml:space="preserve">Group: </w:t>
            </w:r>
            <w:r>
              <w:rPr>
                <w:sz w:val="17"/>
              </w:rPr>
              <w:t>Core support</w:t>
            </w:r>
          </w:p>
          <w:p>
            <w:pPr>
              <w:spacing w:after="0"/>
            </w:pPr>
            <w:r>
              <w:rPr>
                <w:b/>
                <w:sz w:val="17"/>
              </w:rPr>
              <w:t xml:space="preserve">Priority: </w:t>
            </w:r>
            <w:r>
              <w:rPr>
                <w:sz w:val="17"/>
              </w:rPr>
              <w:t>Required</w:t>
            </w:r>
          </w:p>
          <w:p>
            <w:pPr>
              <w:spacing w:after="0"/>
            </w:pPr>
            <w:r>
              <w:rPr>
                <w:b/>
                <w:sz w:val="17"/>
              </w:rPr>
              <w:t xml:space="preserve">Recommended item: </w:t>
            </w:r>
            <w:r>
              <w:rPr>
                <w:sz w:val="17"/>
              </w:rPr>
              <w:t>NEO-6M GPS module with ceramic antenna or equivalent GNSS board.</w:t>
            </w:r>
          </w:p>
          <w:p>
            <w:pPr>
              <w:spacing w:after="0"/>
            </w:pPr>
            <w:r>
              <w:rPr>
                <w:b/>
                <w:sz w:val="17"/>
              </w:rPr>
              <w:t xml:space="preserve">Planning price: </w:t>
            </w:r>
            <w:r>
              <w:rPr>
                <w:sz w:val="17"/>
              </w:rPr>
              <w:t>PHP 299-497 common; higher listings up to about PHP 1,143.</w:t>
            </w:r>
          </w:p>
          <w:p>
            <w:pPr>
              <w:spacing w:after="0"/>
            </w:pPr>
            <w:r>
              <w:rPr>
                <w:b/>
                <w:sz w:val="17"/>
              </w:rPr>
              <w:t xml:space="preserve">Buy from or verify at: </w:t>
            </w:r>
            <w:r>
              <w:rPr>
                <w:sz w:val="17"/>
              </w:rPr>
              <w:t>MakerLab PH / Lazada NEO-6M GPS listings.</w:t>
            </w:r>
          </w:p>
          <w:p>
            <w:pPr>
              <w:spacing w:after="0"/>
            </w:pPr>
            <w:r>
              <w:rPr>
                <w:b/>
                <w:sz w:val="17"/>
              </w:rPr>
              <w:t xml:space="preserve">Approval note: </w:t>
            </w:r>
            <w:r>
              <w:rPr>
                <w:sz w:val="17"/>
              </w:rPr>
              <w:t>Approve. Used for exact position, drift/geofence evidence, timestamp support, and anti-loss/security proof.</w:t>
            </w:r>
          </w:p>
        </w:tc>
      </w:tr>
    </w:tbl>
    <w:p>
      <w:pPr>
        <w:spacing w:after="60"/>
      </w:pPr>
    </w:p>
    <w:p>
      <w:r>
        <w:br w:type="page"/>
      </w:r>
    </w:p>
    <w:tbl>
      <w:tblPr>
        <w:tblStyle w:val="TableGrid"/>
        <w:tblW w:type="auto" w:w="0"/>
        <w:jc w:val="center"/>
        <w:tblLook w:firstColumn="1" w:firstRow="1" w:lastColumn="0" w:lastRow="0" w:noHBand="0" w:noVBand="1" w:val="04A0"/>
      </w:tblPr>
      <w:tblGrid>
        <w:gridCol w:w="5328"/>
        <w:gridCol w:w="5328"/>
      </w:tblGrid>
      <w:tr>
        <w:trPr>
          <w:cantSplit/>
        </w:trPr>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shd w:fill="F3F6F8"/>
          </w:tcPr>
          <w:p>
            <w:pPr>
              <w:jc w:val="center"/>
            </w:pPr>
            <w:r>
              <w:drawing>
                <wp:inline xmlns:a="http://schemas.openxmlformats.org/drawingml/2006/main" xmlns:pic="http://schemas.openxmlformats.org/drawingml/2006/picture">
                  <wp:extent cx="1508760" cy="1047567"/>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1508760" cy="1047567"/>
                          </a:xfrm>
                          <a:prstGeom prst="rect"/>
                        </pic:spPr>
                      </pic:pic>
                    </a:graphicData>
                  </a:graphic>
                </wp:inline>
              </w:drawing>
            </w:r>
          </w:p>
        </w:tc>
        <w:tc>
          <w:tcPr>
            <w:tcW w:type="dxa" w:w="59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40"/>
            </w:pPr>
            <w:r/>
            <w:r>
              <w:rPr>
                <w:rFonts w:ascii="Arial" w:hAnsi="Arial"/>
                <w:b/>
                <w:sz w:val="21"/>
              </w:rPr>
              <w:t>Battery and solar monitor</w:t>
            </w:r>
          </w:p>
          <w:p>
            <w:pPr>
              <w:spacing w:after="0"/>
            </w:pPr>
            <w:r>
              <w:rPr>
                <w:b/>
                <w:sz w:val="17"/>
              </w:rPr>
              <w:t xml:space="preserve">Group: </w:t>
            </w:r>
            <w:r>
              <w:rPr>
                <w:sz w:val="17"/>
              </w:rPr>
              <w:t>Power monitor</w:t>
            </w:r>
          </w:p>
          <w:p>
            <w:pPr>
              <w:spacing w:after="0"/>
            </w:pPr>
            <w:r>
              <w:rPr>
                <w:b/>
                <w:sz w:val="17"/>
              </w:rPr>
              <w:t xml:space="preserve">Priority: </w:t>
            </w:r>
            <w:r>
              <w:rPr>
                <w:sz w:val="17"/>
              </w:rPr>
              <w:t>Required support</w:t>
            </w:r>
          </w:p>
          <w:p>
            <w:pPr>
              <w:spacing w:after="0"/>
            </w:pPr>
            <w:r>
              <w:rPr>
                <w:b/>
                <w:sz w:val="17"/>
              </w:rPr>
              <w:t xml:space="preserve">Recommended item: </w:t>
            </w:r>
            <w:r>
              <w:rPr>
                <w:sz w:val="17"/>
              </w:rPr>
              <w:t>INA219 current and power monitor module; INA260 may be used as upgrade option.</w:t>
            </w:r>
          </w:p>
          <w:p>
            <w:pPr>
              <w:spacing w:after="0"/>
            </w:pPr>
            <w:r>
              <w:rPr>
                <w:b/>
                <w:sz w:val="17"/>
              </w:rPr>
              <w:t xml:space="preserve">Planning price: </w:t>
            </w:r>
            <w:r>
              <w:rPr>
                <w:sz w:val="17"/>
              </w:rPr>
              <w:t>PHP 83-180 for INA219; INA260 around PHP 593.</w:t>
            </w:r>
          </w:p>
          <w:p>
            <w:pPr>
              <w:spacing w:after="0"/>
            </w:pPr>
            <w:r>
              <w:rPr>
                <w:b/>
                <w:sz w:val="17"/>
              </w:rPr>
              <w:t xml:space="preserve">Buy from or verify at: </w:t>
            </w:r>
            <w:r>
              <w:rPr>
                <w:sz w:val="17"/>
              </w:rPr>
              <w:t>Shopee INA219, imBento Cebu, Lazada INA260 tag results.</w:t>
            </w:r>
          </w:p>
          <w:p>
            <w:pPr>
              <w:spacing w:after="0"/>
            </w:pPr>
            <w:r>
              <w:rPr>
                <w:b/>
                <w:sz w:val="17"/>
              </w:rPr>
              <w:t xml:space="preserve">Approval note: </w:t>
            </w:r>
            <w:r>
              <w:rPr>
                <w:sz w:val="17"/>
              </w:rPr>
              <w:t>Approve INA219 first for low cost. It validates battery voltage, charging behavior, and actual current draw.</w:t>
            </w:r>
          </w:p>
        </w:tc>
      </w:tr>
    </w:tbl>
    <w:p>
      <w:pPr>
        <w:spacing w:after="60"/>
      </w:pPr>
    </w:p>
    <w:tbl>
      <w:tblPr>
        <w:tblStyle w:val="TableGrid"/>
        <w:tblW w:type="auto" w:w="0"/>
        <w:jc w:val="center"/>
        <w:tblLook w:firstColumn="1" w:firstRow="1" w:lastColumn="0" w:lastRow="0" w:noHBand="0" w:noVBand="1" w:val="04A0"/>
      </w:tblPr>
      <w:tblGrid>
        <w:gridCol w:w="5328"/>
        <w:gridCol w:w="5328"/>
      </w:tblGrid>
      <w:tr>
        <w:trPr>
          <w:cantSplit/>
        </w:trPr>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shd w:fill="F3F6F8"/>
          </w:tcPr>
          <w:p>
            <w:pPr>
              <w:jc w:val="center"/>
            </w:pPr>
            <w:r>
              <w:drawing>
                <wp:inline xmlns:a="http://schemas.openxmlformats.org/drawingml/2006/main" xmlns:pic="http://schemas.openxmlformats.org/drawingml/2006/picture">
                  <wp:extent cx="1508760" cy="1047567"/>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1508760" cy="1047567"/>
                          </a:xfrm>
                          <a:prstGeom prst="rect"/>
                        </pic:spPr>
                      </pic:pic>
                    </a:graphicData>
                  </a:graphic>
                </wp:inline>
              </w:drawing>
            </w:r>
          </w:p>
        </w:tc>
        <w:tc>
          <w:tcPr>
            <w:tcW w:type="dxa" w:w="59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40"/>
            </w:pPr>
            <w:r/>
            <w:r>
              <w:rPr>
                <w:rFonts w:ascii="Arial" w:hAnsi="Arial"/>
                <w:b/>
                <w:sz w:val="21"/>
              </w:rPr>
              <w:t>Rechargeable battery pack</w:t>
            </w:r>
          </w:p>
          <w:p>
            <w:pPr>
              <w:spacing w:after="0"/>
            </w:pPr>
            <w:r>
              <w:rPr>
                <w:b/>
                <w:sz w:val="17"/>
              </w:rPr>
              <w:t xml:space="preserve">Group: </w:t>
            </w:r>
            <w:r>
              <w:rPr>
                <w:sz w:val="17"/>
              </w:rPr>
              <w:t>Power system</w:t>
            </w:r>
          </w:p>
          <w:p>
            <w:pPr>
              <w:spacing w:after="0"/>
            </w:pPr>
            <w:r>
              <w:rPr>
                <w:b/>
                <w:sz w:val="17"/>
              </w:rPr>
              <w:t xml:space="preserve">Priority: </w:t>
            </w:r>
            <w:r>
              <w:rPr>
                <w:sz w:val="17"/>
              </w:rPr>
              <w:t>Required power</w:t>
            </w:r>
          </w:p>
          <w:p>
            <w:pPr>
              <w:spacing w:after="0"/>
            </w:pPr>
            <w:r>
              <w:rPr>
                <w:b/>
                <w:sz w:val="17"/>
              </w:rPr>
              <w:t xml:space="preserve">Recommended item: </w:t>
            </w:r>
            <w:r>
              <w:rPr>
                <w:sz w:val="17"/>
              </w:rPr>
              <w:t>Small 12 V LiFePO4 pack with built-in BMS, or protected 18650 pack for prototype validation.</w:t>
            </w:r>
          </w:p>
          <w:p>
            <w:pPr>
              <w:spacing w:after="0"/>
            </w:pPr>
            <w:r>
              <w:rPr>
                <w:b/>
                <w:sz w:val="17"/>
              </w:rPr>
              <w:t xml:space="preserve">Planning price: </w:t>
            </w:r>
            <w:r>
              <w:rPr>
                <w:sz w:val="17"/>
              </w:rPr>
              <w:t>Prototype 18650 holders/cases PHP 15-499; small 12 V LiFePO4 planning range PHP 1,500-3,500+.</w:t>
            </w:r>
          </w:p>
          <w:p>
            <w:pPr>
              <w:spacing w:after="0"/>
            </w:pPr>
            <w:r>
              <w:rPr>
                <w:b/>
                <w:sz w:val="17"/>
              </w:rPr>
              <w:t xml:space="preserve">Buy from or verify at: </w:t>
            </w:r>
            <w:r>
              <w:rPr>
                <w:sz w:val="17"/>
              </w:rPr>
              <w:t>Shopee 18650 holder/BMS listings; Lazada lithium/LiFePO4 battery listings.</w:t>
            </w:r>
          </w:p>
          <w:p>
            <w:pPr>
              <w:spacing w:after="0"/>
            </w:pPr>
            <w:r>
              <w:rPr>
                <w:b/>
                <w:sz w:val="17"/>
              </w:rPr>
              <w:t xml:space="preserve">Approval note: </w:t>
            </w:r>
            <w:r>
              <w:rPr>
                <w:sz w:val="17"/>
              </w:rPr>
              <w:t>Add to approval list. Capacity must be sized after ESP32, internet module, GPS, wind, pressure interface, and flashing beacon current are measured.</w:t>
            </w:r>
          </w:p>
        </w:tc>
      </w:tr>
    </w:tbl>
    <w:p>
      <w:pPr>
        <w:spacing w:after="60"/>
      </w:pPr>
    </w:p>
    <w:tbl>
      <w:tblPr>
        <w:tblStyle w:val="TableGrid"/>
        <w:tblW w:type="auto" w:w="0"/>
        <w:jc w:val="center"/>
        <w:tblLook w:firstColumn="1" w:firstRow="1" w:lastColumn="0" w:lastRow="0" w:noHBand="0" w:noVBand="1" w:val="04A0"/>
      </w:tblPr>
      <w:tblGrid>
        <w:gridCol w:w="5328"/>
        <w:gridCol w:w="5328"/>
      </w:tblGrid>
      <w:tr>
        <w:trPr>
          <w:cantSplit/>
        </w:trPr>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shd w:fill="F3F6F8"/>
          </w:tcPr>
          <w:p>
            <w:pPr>
              <w:jc w:val="center"/>
            </w:pPr>
            <w:r>
              <w:drawing>
                <wp:inline xmlns:a="http://schemas.openxmlformats.org/drawingml/2006/main" xmlns:pic="http://schemas.openxmlformats.org/drawingml/2006/picture">
                  <wp:extent cx="1508760" cy="1047567"/>
                  <wp:docPr id="7" name="Picture 7"/>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1508760" cy="1047567"/>
                          </a:xfrm>
                          <a:prstGeom prst="rect"/>
                        </pic:spPr>
                      </pic:pic>
                    </a:graphicData>
                  </a:graphic>
                </wp:inline>
              </w:drawing>
            </w:r>
          </w:p>
        </w:tc>
        <w:tc>
          <w:tcPr>
            <w:tcW w:type="dxa" w:w="59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40"/>
            </w:pPr>
            <w:r/>
            <w:r>
              <w:rPr>
                <w:rFonts w:ascii="Arial" w:hAnsi="Arial"/>
                <w:b/>
                <w:sz w:val="21"/>
              </w:rPr>
              <w:t>Compact solar panel</w:t>
            </w:r>
          </w:p>
          <w:p>
            <w:pPr>
              <w:spacing w:after="0"/>
            </w:pPr>
            <w:r>
              <w:rPr>
                <w:b/>
                <w:sz w:val="17"/>
              </w:rPr>
              <w:t xml:space="preserve">Group: </w:t>
            </w:r>
            <w:r>
              <w:rPr>
                <w:sz w:val="17"/>
              </w:rPr>
              <w:t>Power system</w:t>
            </w:r>
          </w:p>
          <w:p>
            <w:pPr>
              <w:spacing w:after="0"/>
            </w:pPr>
            <w:r>
              <w:rPr>
                <w:b/>
                <w:sz w:val="17"/>
              </w:rPr>
              <w:t xml:space="preserve">Priority: </w:t>
            </w:r>
            <w:r>
              <w:rPr>
                <w:sz w:val="17"/>
              </w:rPr>
              <w:t>Required power</w:t>
            </w:r>
          </w:p>
          <w:p>
            <w:pPr>
              <w:spacing w:after="0"/>
            </w:pPr>
            <w:r>
              <w:rPr>
                <w:b/>
                <w:sz w:val="17"/>
              </w:rPr>
              <w:t xml:space="preserve">Recommended item: </w:t>
            </w:r>
            <w:r>
              <w:rPr>
                <w:sz w:val="17"/>
              </w:rPr>
              <w:t>One 3 W-5 W compact mini panel is preferred if the buoy top deck can fit it. If using 5.5 V / 0.99 W round mini panels, use 2-4 pieces as the minimum practical set.</w:t>
            </w:r>
          </w:p>
          <w:p>
            <w:pPr>
              <w:spacing w:after="0"/>
            </w:pPr>
            <w:r>
              <w:rPr>
                <w:b/>
                <w:sz w:val="17"/>
              </w:rPr>
              <w:t xml:space="preserve">Planning price: </w:t>
            </w:r>
            <w:r>
              <w:rPr>
                <w:sz w:val="17"/>
              </w:rPr>
              <w:t>0.99 W round panel about PHP 117 each; 2-4 pieces about PHP 235-470. 6 V / 3.3 W around PHP 230. 5 V-6 V / 5 W compact panels commonly PHP 186-339.</w:t>
            </w:r>
          </w:p>
          <w:p>
            <w:pPr>
              <w:spacing w:after="0"/>
            </w:pPr>
            <w:r>
              <w:rPr>
                <w:b/>
                <w:sz w:val="17"/>
              </w:rPr>
              <w:t xml:space="preserve">Buy from or verify at: </w:t>
            </w:r>
            <w:r>
              <w:rPr>
                <w:sz w:val="17"/>
              </w:rPr>
              <w:t>Google Shopping/AliExpress 5.5 V 0.99 W round mini panel; Shopee/Lazada 5 V/5 W, 6 V/5 W, and 6 V/3 W listings.</w:t>
            </w:r>
          </w:p>
          <w:p>
            <w:pPr>
              <w:spacing w:after="0"/>
            </w:pPr>
            <w:r>
              <w:rPr>
                <w:b/>
                <w:sz w:val="17"/>
              </w:rPr>
              <w:t xml:space="preserve">Approval note: </w:t>
            </w:r>
            <w:r>
              <w:rPr>
                <w:sz w:val="17"/>
              </w:rPr>
              <w:t>Do not rely on one 0.99 W panel for full buoy power. One 0.99 W panel is design-fit/trickle only; 3 W-5 W is the cleaner approval choice if size allows.</w:t>
            </w:r>
          </w:p>
        </w:tc>
      </w:tr>
    </w:tbl>
    <w:p>
      <w:pPr>
        <w:spacing w:after="60"/>
      </w:pPr>
    </w:p>
    <w:p>
      <w:r>
        <w:br w:type="page"/>
      </w:r>
    </w:p>
    <w:tbl>
      <w:tblPr>
        <w:tblStyle w:val="TableGrid"/>
        <w:tblW w:type="auto" w:w="0"/>
        <w:jc w:val="center"/>
        <w:tblLook w:firstColumn="1" w:firstRow="1" w:lastColumn="0" w:lastRow="0" w:noHBand="0" w:noVBand="1" w:val="04A0"/>
      </w:tblPr>
      <w:tblGrid>
        <w:gridCol w:w="5328"/>
        <w:gridCol w:w="5328"/>
      </w:tblGrid>
      <w:tr>
        <w:trPr>
          <w:cantSplit/>
        </w:trPr>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shd w:fill="F3F6F8"/>
          </w:tcPr>
          <w:p>
            <w:pPr>
              <w:jc w:val="center"/>
            </w:pPr>
            <w:r>
              <w:drawing>
                <wp:inline xmlns:a="http://schemas.openxmlformats.org/drawingml/2006/main" xmlns:pic="http://schemas.openxmlformats.org/drawingml/2006/picture">
                  <wp:extent cx="1508760" cy="1047567"/>
                  <wp:docPr id="8" name="Picture 8"/>
                  <wp:cNvGraphicFramePr>
                    <a:graphicFrameLocks noChangeAspect="1"/>
                  </wp:cNvGraphicFramePr>
                  <a:graphic>
                    <a:graphicData uri="http://schemas.openxmlformats.org/drawingml/2006/picture">
                      <pic:pic>
                        <pic:nvPicPr>
                          <pic:cNvPr id="0" name="image8.png"/>
                          <pic:cNvPicPr/>
                        </pic:nvPicPr>
                        <pic:blipFill>
                          <a:blip r:embed="rId16"/>
                          <a:stretch>
                            <a:fillRect/>
                          </a:stretch>
                        </pic:blipFill>
                        <pic:spPr>
                          <a:xfrm>
                            <a:off x="0" y="0"/>
                            <a:ext cx="1508760" cy="1047567"/>
                          </a:xfrm>
                          <a:prstGeom prst="rect"/>
                        </pic:spPr>
                      </pic:pic>
                    </a:graphicData>
                  </a:graphic>
                </wp:inline>
              </w:drawing>
            </w:r>
          </w:p>
        </w:tc>
        <w:tc>
          <w:tcPr>
            <w:tcW w:type="dxa" w:w="59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40"/>
            </w:pPr>
            <w:r/>
            <w:r>
              <w:rPr>
                <w:rFonts w:ascii="Arial" w:hAnsi="Arial"/>
                <w:b/>
                <w:sz w:val="21"/>
              </w:rPr>
              <w:t>Solar charger and battery protection</w:t>
            </w:r>
          </w:p>
          <w:p>
            <w:pPr>
              <w:spacing w:after="0"/>
            </w:pPr>
            <w:r>
              <w:rPr>
                <w:b/>
                <w:sz w:val="17"/>
              </w:rPr>
              <w:t xml:space="preserve">Group: </w:t>
            </w:r>
            <w:r>
              <w:rPr>
                <w:sz w:val="17"/>
              </w:rPr>
              <w:t>Power interface</w:t>
            </w:r>
          </w:p>
          <w:p>
            <w:pPr>
              <w:spacing w:after="0"/>
            </w:pPr>
            <w:r>
              <w:rPr>
                <w:b/>
                <w:sz w:val="17"/>
              </w:rPr>
              <w:t xml:space="preserve">Priority: </w:t>
            </w:r>
            <w:r>
              <w:rPr>
                <w:sz w:val="17"/>
              </w:rPr>
              <w:t>Required if solar is used</w:t>
            </w:r>
          </w:p>
          <w:p>
            <w:pPr>
              <w:spacing w:after="0"/>
            </w:pPr>
            <w:r>
              <w:rPr>
                <w:b/>
                <w:sz w:val="17"/>
              </w:rPr>
              <w:t xml:space="preserve">Recommended item: </w:t>
            </w:r>
            <w:r>
              <w:rPr>
                <w:sz w:val="17"/>
              </w:rPr>
              <w:t>Solar charge controller matched to battery chemistry; include BMS for lithium or LiFePO4 packs.</w:t>
            </w:r>
          </w:p>
          <w:p>
            <w:pPr>
              <w:spacing w:after="0"/>
            </w:pPr>
            <w:r>
              <w:rPr>
                <w:b/>
                <w:sz w:val="17"/>
              </w:rPr>
              <w:t xml:space="preserve">Planning price: </w:t>
            </w:r>
            <w:r>
              <w:rPr>
                <w:sz w:val="17"/>
              </w:rPr>
              <w:t>Small PWM controllers around PHP 189; CN3065/TP4056 class modules are lower cost for single-cell prototypes.</w:t>
            </w:r>
          </w:p>
          <w:p>
            <w:pPr>
              <w:spacing w:after="0"/>
            </w:pPr>
            <w:r>
              <w:rPr>
                <w:b/>
                <w:sz w:val="17"/>
              </w:rPr>
              <w:t xml:space="preserve">Buy from or verify at: </w:t>
            </w:r>
            <w:r>
              <w:rPr>
                <w:sz w:val="17"/>
              </w:rPr>
              <w:t>Shopee solar charge controller listings; CN3065/TP4056 module references.</w:t>
            </w:r>
          </w:p>
          <w:p>
            <w:pPr>
              <w:spacing w:after="0"/>
            </w:pPr>
            <w:r>
              <w:rPr>
                <w:b/>
                <w:sz w:val="17"/>
              </w:rPr>
              <w:t xml:space="preserve">Approval note: </w:t>
            </w:r>
            <w:r>
              <w:rPr>
                <w:sz w:val="17"/>
              </w:rPr>
              <w:t>Required if solar charging is used. Do not connect a solar panel directly to a lithium battery without a proper charger and protection.</w:t>
            </w:r>
          </w:p>
        </w:tc>
      </w:tr>
    </w:tbl>
    <w:p>
      <w:pPr>
        <w:spacing w:after="60"/>
      </w:pPr>
    </w:p>
    <w:tbl>
      <w:tblPr>
        <w:tblStyle w:val="TableGrid"/>
        <w:tblW w:type="auto" w:w="0"/>
        <w:jc w:val="center"/>
        <w:tblLook w:firstColumn="1" w:firstRow="1" w:lastColumn="0" w:lastRow="0" w:noHBand="0" w:noVBand="1" w:val="04A0"/>
      </w:tblPr>
      <w:tblGrid>
        <w:gridCol w:w="5328"/>
        <w:gridCol w:w="5328"/>
      </w:tblGrid>
      <w:tr>
        <w:trPr>
          <w:cantSplit/>
        </w:trPr>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shd w:fill="F3F6F8"/>
          </w:tcPr>
          <w:p>
            <w:pPr>
              <w:jc w:val="center"/>
            </w:pPr>
            <w:r>
              <w:drawing>
                <wp:inline xmlns:a="http://schemas.openxmlformats.org/drawingml/2006/main" xmlns:pic="http://schemas.openxmlformats.org/drawingml/2006/picture">
                  <wp:extent cx="1508760" cy="1047567"/>
                  <wp:docPr id="9" name="Picture 9"/>
                  <wp:cNvGraphicFramePr>
                    <a:graphicFrameLocks noChangeAspect="1"/>
                  </wp:cNvGraphicFramePr>
                  <a:graphic>
                    <a:graphicData uri="http://schemas.openxmlformats.org/drawingml/2006/picture">
                      <pic:pic>
                        <pic:nvPicPr>
                          <pic:cNvPr id="0" name="image9.png"/>
                          <pic:cNvPicPr/>
                        </pic:nvPicPr>
                        <pic:blipFill>
                          <a:blip r:embed="rId17"/>
                          <a:stretch>
                            <a:fillRect/>
                          </a:stretch>
                        </pic:blipFill>
                        <pic:spPr>
                          <a:xfrm>
                            <a:off x="0" y="0"/>
                            <a:ext cx="1508760" cy="1047567"/>
                          </a:xfrm>
                          <a:prstGeom prst="rect"/>
                        </pic:spPr>
                      </pic:pic>
                    </a:graphicData>
                  </a:graphic>
                </wp:inline>
              </w:drawing>
            </w:r>
          </w:p>
        </w:tc>
        <w:tc>
          <w:tcPr>
            <w:tcW w:type="dxa" w:w="59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40"/>
            </w:pPr>
            <w:r/>
            <w:r>
              <w:rPr>
                <w:rFonts w:ascii="Arial" w:hAnsi="Arial"/>
                <w:b/>
                <w:sz w:val="21"/>
              </w:rPr>
              <w:t>Flashing marine warning light / buoy beacon</w:t>
            </w:r>
          </w:p>
          <w:p>
            <w:pPr>
              <w:spacing w:after="0"/>
            </w:pPr>
            <w:r>
              <w:rPr>
                <w:b/>
                <w:sz w:val="17"/>
              </w:rPr>
              <w:t xml:space="preserve">Group: </w:t>
            </w:r>
            <w:r>
              <w:rPr>
                <w:sz w:val="17"/>
              </w:rPr>
              <w:t>Safety marker</w:t>
            </w:r>
          </w:p>
          <w:p>
            <w:pPr>
              <w:spacing w:after="0"/>
            </w:pPr>
            <w:r>
              <w:rPr>
                <w:b/>
                <w:sz w:val="17"/>
              </w:rPr>
              <w:t xml:space="preserve">Priority: </w:t>
            </w:r>
            <w:r>
              <w:rPr>
                <w:sz w:val="17"/>
              </w:rPr>
              <w:t>Required visibility/safety</w:t>
            </w:r>
          </w:p>
          <w:p>
            <w:pPr>
              <w:spacing w:after="0"/>
            </w:pPr>
            <w:r>
              <w:rPr>
                <w:b/>
                <w:sz w:val="17"/>
              </w:rPr>
              <w:t xml:space="preserve">Recommended item: </w:t>
            </w:r>
            <w:r>
              <w:rPr>
                <w:sz w:val="17"/>
              </w:rPr>
              <w:t>Waterproof flashing marine beacon or buoy signal light, IP66-IP68 preferred, used as a night marker.</w:t>
            </w:r>
          </w:p>
          <w:p>
            <w:pPr>
              <w:spacing w:after="0"/>
            </w:pPr>
            <w:r>
              <w:rPr>
                <w:b/>
                <w:sz w:val="17"/>
              </w:rPr>
              <w:t xml:space="preserve">Planning price: </w:t>
            </w:r>
            <w:r>
              <w:rPr>
                <w:sz w:val="17"/>
              </w:rPr>
              <w:t>Current reference is PHP 458.59 plus tax for a 2-piece flashing warning marine buoy light listing; budget around PHP 500 and re-check Shopee/Lazada before buying.</w:t>
            </w:r>
          </w:p>
          <w:p>
            <w:pPr>
              <w:spacing w:after="0"/>
            </w:pPr>
            <w:r>
              <w:rPr>
                <w:b/>
                <w:sz w:val="17"/>
              </w:rPr>
              <w:t xml:space="preserve">Buy from or verify at: </w:t>
            </w:r>
            <w:r>
              <w:rPr>
                <w:sz w:val="17"/>
              </w:rPr>
              <w:t>Shopee/Lazada flashing warning marine buoy light listings; Alibaba 2-piece reference listing around PHP 458.59 plus tax.</w:t>
            </w:r>
          </w:p>
          <w:p>
            <w:pPr>
              <w:spacing w:after="0"/>
            </w:pPr>
            <w:r>
              <w:rPr>
                <w:b/>
                <w:sz w:val="17"/>
              </w:rPr>
              <w:t xml:space="preserve">Approval note: </w:t>
            </w:r>
            <w:r>
              <w:rPr>
                <w:sz w:val="17"/>
              </w:rPr>
              <w:t>Use 1 flashing waterproof beacon on the buoy; 2-piece listings are acceptable as spare. This is not a steady area light.</w:t>
            </w:r>
          </w:p>
        </w:tc>
      </w:tr>
    </w:tbl>
    <w:p>
      <w:pPr>
        <w:spacing w:after="60"/>
      </w:pPr>
    </w:p>
    <w:tbl>
      <w:tblPr>
        <w:tblStyle w:val="TableGrid"/>
        <w:tblW w:type="auto" w:w="0"/>
        <w:jc w:val="center"/>
        <w:tblLook w:firstColumn="1" w:firstRow="1" w:lastColumn="0" w:lastRow="0" w:noHBand="0" w:noVBand="1" w:val="04A0"/>
      </w:tblPr>
      <w:tblGrid>
        <w:gridCol w:w="5328"/>
        <w:gridCol w:w="5328"/>
      </w:tblGrid>
      <w:tr>
        <w:trPr>
          <w:cantSplit/>
        </w:trPr>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shd w:fill="F3F6F8"/>
          </w:tcPr>
          <w:p>
            <w:pPr>
              <w:jc w:val="center"/>
            </w:pPr>
            <w:r>
              <w:drawing>
                <wp:inline xmlns:a="http://schemas.openxmlformats.org/drawingml/2006/main" xmlns:pic="http://schemas.openxmlformats.org/drawingml/2006/picture">
                  <wp:extent cx="1508760" cy="1047567"/>
                  <wp:docPr id="10" name="Picture 10"/>
                  <wp:cNvGraphicFramePr>
                    <a:graphicFrameLocks noChangeAspect="1"/>
                  </wp:cNvGraphicFramePr>
                  <a:graphic>
                    <a:graphicData uri="http://schemas.openxmlformats.org/drawingml/2006/picture">
                      <pic:pic>
                        <pic:nvPicPr>
                          <pic:cNvPr id="0" name="image10.png"/>
                          <pic:cNvPicPr/>
                        </pic:nvPicPr>
                        <pic:blipFill>
                          <a:blip r:embed="rId18"/>
                          <a:stretch>
                            <a:fillRect/>
                          </a:stretch>
                        </pic:blipFill>
                        <pic:spPr>
                          <a:xfrm>
                            <a:off x="0" y="0"/>
                            <a:ext cx="1508760" cy="1047567"/>
                          </a:xfrm>
                          <a:prstGeom prst="rect"/>
                        </pic:spPr>
                      </pic:pic>
                    </a:graphicData>
                  </a:graphic>
                </wp:inline>
              </w:drawing>
            </w:r>
          </w:p>
        </w:tc>
        <w:tc>
          <w:tcPr>
            <w:tcW w:type="dxa" w:w="59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40"/>
            </w:pPr>
            <w:r/>
            <w:r>
              <w:rPr>
                <w:rFonts w:ascii="Arial" w:hAnsi="Arial"/>
                <w:b/>
                <w:sz w:val="21"/>
              </w:rPr>
              <w:t>Internet module</w:t>
            </w:r>
          </w:p>
          <w:p>
            <w:pPr>
              <w:spacing w:after="0"/>
            </w:pPr>
            <w:r>
              <w:rPr>
                <w:b/>
                <w:sz w:val="17"/>
              </w:rPr>
              <w:t xml:space="preserve">Group: </w:t>
            </w:r>
            <w:r>
              <w:rPr>
                <w:sz w:val="17"/>
              </w:rPr>
              <w:t>Communication</w:t>
            </w:r>
          </w:p>
          <w:p>
            <w:pPr>
              <w:spacing w:after="0"/>
            </w:pPr>
            <w:r>
              <w:rPr>
                <w:b/>
                <w:sz w:val="17"/>
              </w:rPr>
              <w:t xml:space="preserve">Priority: </w:t>
            </w:r>
            <w:r>
              <w:rPr>
                <w:sz w:val="17"/>
              </w:rPr>
              <w:t>Conditional communication</w:t>
            </w:r>
          </w:p>
          <w:p>
            <w:pPr>
              <w:spacing w:after="0"/>
            </w:pPr>
            <w:r>
              <w:rPr>
                <w:b/>
                <w:sz w:val="17"/>
              </w:rPr>
              <w:t xml:space="preserve">Recommended item: </w:t>
            </w:r>
            <w:r>
              <w:rPr>
                <w:sz w:val="17"/>
              </w:rPr>
              <w:t>ESP32 Wi-Fi for lab and near-shore tests; A7670E LTE Cat-1 or Waveshare ESP32-S3 A7670E only when the field site has no stable Wi-Fi.</w:t>
            </w:r>
          </w:p>
          <w:p>
            <w:pPr>
              <w:spacing w:after="0"/>
            </w:pPr>
            <w:r>
              <w:rPr>
                <w:b/>
                <w:sz w:val="17"/>
              </w:rPr>
              <w:t xml:space="preserve">Planning price: </w:t>
            </w:r>
            <w:r>
              <w:rPr>
                <w:sz w:val="17"/>
              </w:rPr>
              <w:t>A7670E core PHP 1,015-1,151; Waveshare ESP32-S3 A7670E PHP 2,614; T-SIM7600 class around PHP 4,192.</w:t>
            </w:r>
          </w:p>
          <w:p>
            <w:pPr>
              <w:spacing w:after="0"/>
            </w:pPr>
            <w:r>
              <w:rPr>
                <w:b/>
                <w:sz w:val="17"/>
              </w:rPr>
              <w:t xml:space="preserve">Buy from or verify at: </w:t>
            </w:r>
            <w:r>
              <w:rPr>
                <w:sz w:val="17"/>
              </w:rPr>
              <w:t>Lazada A7670E / ESP32 SIM LTE listings.</w:t>
            </w:r>
          </w:p>
          <w:p>
            <w:pPr>
              <w:spacing w:after="0"/>
            </w:pPr>
            <w:r>
              <w:rPr>
                <w:b/>
                <w:sz w:val="17"/>
              </w:rPr>
              <w:t xml:space="preserve">Approval note: </w:t>
            </w:r>
            <w:r>
              <w:rPr>
                <w:sz w:val="17"/>
              </w:rPr>
              <w:t>Keep conditional. Avoid every-second upload; use scheduled summary packets and alert packets to reduce battery and data cost.</w:t>
            </w:r>
          </w:p>
        </w:tc>
      </w:tr>
    </w:tbl>
    <w:p>
      <w:pPr>
        <w:spacing w:after="60"/>
      </w:pPr>
    </w:p>
    <w:p>
      <w:pPr>
        <w:spacing w:before="200" w:after="100"/>
      </w:pPr>
      <w:r>
        <w:rPr>
          <w:rFonts w:ascii="Arial" w:hAnsi="Arial"/>
          <w:b/>
          <w:color w:val="000000"/>
          <w:sz w:val="32"/>
        </w:rPr>
        <w:t>Alternatives and items not recommended as replacements</w:t>
      </w:r>
    </w:p>
    <w:tbl>
      <w:tblPr>
        <w:tblStyle w:val="TableGrid"/>
        <w:tblW w:type="auto" w:w="0"/>
        <w:jc w:val="center"/>
        <w:tblLook w:firstColumn="1" w:firstRow="1" w:lastColumn="0" w:lastRow="0" w:noHBand="0" w:noVBand="1" w:val="04A0"/>
      </w:tblPr>
      <w:tblGrid>
        <w:gridCol w:w="2664"/>
        <w:gridCol w:w="2664"/>
        <w:gridCol w:w="2664"/>
        <w:gridCol w:w="2664"/>
      </w:tblGrid>
      <w:tr>
        <w:trPr>
          <w:tblHeader/>
          <w:cantSplit/>
        </w:trPr>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5F"/>
          </w:tcPr>
          <w:p>
            <w:pPr>
              <w:spacing w:after="0"/>
              <w:jc w:val="left"/>
            </w:pPr>
            <w:r>
              <w:rPr>
                <w:color w:val="FFFFFF"/>
              </w:rPr>
            </w:r>
            <w:r>
              <w:rPr>
                <w:rFonts w:ascii="Arial" w:hAnsi="Arial"/>
                <w:b/>
                <w:color w:val="FFFFFF"/>
                <w:sz w:val="16"/>
              </w:rPr>
              <w:t>Channel</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5F"/>
          </w:tcPr>
          <w:p>
            <w:pPr>
              <w:spacing w:after="0"/>
              <w:jc w:val="left"/>
            </w:pPr>
            <w:r>
              <w:rPr>
                <w:color w:val="FFFFFF"/>
              </w:rPr>
            </w:r>
            <w:r>
              <w:rPr>
                <w:rFonts w:ascii="Arial" w:hAnsi="Arial"/>
                <w:b/>
                <w:color w:val="FFFFFF"/>
                <w:sz w:val="16"/>
              </w:rPr>
              <w:t>Lower cost option</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5F"/>
          </w:tcPr>
          <w:p>
            <w:pPr>
              <w:spacing w:after="0"/>
              <w:jc w:val="left"/>
            </w:pPr>
            <w:r>
              <w:rPr>
                <w:color w:val="FFFFFF"/>
              </w:rPr>
            </w:r>
            <w:r>
              <w:rPr>
                <w:rFonts w:ascii="Arial" w:hAnsi="Arial"/>
                <w:b/>
                <w:color w:val="FFFFFF"/>
                <w:sz w:val="16"/>
              </w:rPr>
              <w:t>Better or safer option</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5F"/>
          </w:tcPr>
          <w:p>
            <w:pPr>
              <w:spacing w:after="0"/>
              <w:jc w:val="left"/>
            </w:pPr>
            <w:r>
              <w:rPr>
                <w:color w:val="FFFFFF"/>
              </w:rPr>
            </w:r>
            <w:r>
              <w:rPr>
                <w:rFonts w:ascii="Arial" w:hAnsi="Arial"/>
                <w:b/>
                <w:color w:val="FFFFFF"/>
                <w:sz w:val="16"/>
              </w:rPr>
              <w:t>Do not approve as replacement</w:t>
            </w:r>
          </w:p>
        </w:tc>
      </w:tr>
      <w:tr>
        <w:trPr>
          <w:cantSplit/>
        </w:trPr>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Water pressure</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Generic low-range 4-20 mA hydrostatic transmitter</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Quoted industrial low-range hydrostatic unit or RS485 Modbus transmitter</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Float switch, rain sensor, HC-SR04, automotive oil/fuel pressure sensor</w:t>
            </w:r>
          </w:p>
        </w:tc>
      </w:tr>
      <w:tr>
        <w:trPr>
          <w:cantSplit/>
        </w:trPr>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Wind</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Low-cost combined cup sensor and vane</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Industrial RS485 combined wind sensor with IP65/IP66 housing</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Handheld anemometer or toy vane as final installed sensor</w:t>
            </w:r>
          </w:p>
        </w:tc>
      </w:tr>
      <w:tr>
        <w:trPr>
          <w:cantSplit/>
        </w:trPr>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Power</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Protected 18650 pack for bench validation</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12 V LiFePO4 pack with BMS and measured capacity</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Loose cells with no BMS, fuse, or enclosure</w:t>
            </w:r>
          </w:p>
        </w:tc>
      </w:tr>
      <w:tr>
        <w:trPr>
          <w:cantSplit/>
        </w:trPr>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Solar panel</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2-4 pcs 0.99 W mini panels if space allows</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1 pc 3 W-5 W compact mini panel if it fits</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One 0.99 W panel as the only power source</w:t>
            </w:r>
          </w:p>
        </w:tc>
      </w:tr>
      <w:tr>
        <w:trPr>
          <w:cantSplit/>
        </w:trPr>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Night marker</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Low-cost flashing warning buoy light around PHP 500 for 2 pcs</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IP66-IP68 self-contained solar flashing marine beacon</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Indoor LED strip, flashlight, or decorative light</w:t>
            </w:r>
          </w:p>
        </w:tc>
      </w:tr>
      <w:tr>
        <w:trPr>
          <w:cantSplit/>
        </w:trPr>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Internet</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ESP32 Wi-Fi for lab and near-shore tests</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A7670E LTE Cat-1 or SIM7600 class board for field</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Always-on every-second upload</w:t>
            </w:r>
          </w:p>
        </w:tc>
      </w:tr>
      <w:tr>
        <w:trPr>
          <w:cantSplit/>
        </w:trPr>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Motion/tamper</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SW-420 or reed switch</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MPU6050 plus enclosure reed switch</w:t>
            </w:r>
          </w:p>
        </w:tc>
        <w:tc>
          <w:tcPr>
            <w:tcW w:type="dxa" w:w="26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jc w:val="left"/>
            </w:pPr>
            <w:r/>
            <w:r>
              <w:rPr>
                <w:rFonts w:ascii="Arial" w:hAnsi="Arial"/>
                <w:b w:val="0"/>
                <w:sz w:val="16"/>
              </w:rPr>
              <w:t>Motion sensor as replacement for pressure sensor</w:t>
            </w:r>
          </w:p>
        </w:tc>
      </w:tr>
    </w:tbl>
    <w:p>
      <w:r>
        <w:br w:type="page"/>
      </w:r>
    </w:p>
    <w:p>
      <w:pPr>
        <w:spacing w:before="200" w:after="100"/>
      </w:pPr>
      <w:r>
        <w:rPr>
          <w:rFonts w:ascii="Arial" w:hAnsi="Arial"/>
          <w:b/>
          <w:color w:val="000000"/>
          <w:sz w:val="32"/>
        </w:rPr>
        <w:t>Approval buying order</w:t>
      </w:r>
    </w:p>
    <w:p>
      <w:pPr>
        <w:ind w:left="360" w:hanging="360"/>
      </w:pPr>
      <w:r>
        <w:rPr>
          <w:rFonts w:ascii="Arial" w:hAnsi="Arial"/>
          <w:sz w:val="19"/>
        </w:rPr>
        <w:t>1.  Use the existing ESP32 kit, breadboard, jumper wires, buttons, LEDs, and buck converters for bench validation only.</w:t>
      </w:r>
    </w:p>
    <w:p>
      <w:pPr>
        <w:ind w:left="360" w:hanging="360"/>
      </w:pPr>
      <w:r>
        <w:rPr>
          <w:rFonts w:ascii="Arial" w:hAnsi="Arial"/>
          <w:sz w:val="19"/>
        </w:rPr>
        <w:t>2.  Buy or confirm the water pressure sensor and pressure interface first because this is the core measurement path.</w:t>
      </w:r>
    </w:p>
    <w:p>
      <w:pPr>
        <w:ind w:left="360" w:hanging="360"/>
      </w:pPr>
      <w:r>
        <w:rPr>
          <w:rFonts w:ascii="Arial" w:hAnsi="Arial"/>
          <w:sz w:val="19"/>
        </w:rPr>
        <w:t>3.  Add GPS, INA219, and wind speed/direction after the pressure path is defined.</w:t>
      </w:r>
    </w:p>
    <w:p>
      <w:pPr>
        <w:ind w:left="360" w:hanging="360"/>
      </w:pPr>
      <w:r>
        <w:rPr>
          <w:rFonts w:ascii="Arial" w:hAnsi="Arial"/>
          <w:sz w:val="19"/>
        </w:rPr>
        <w:t>4.  Measure ESP32, GPS, internet module, wind sensor, pressure interface, and beacon current before final battery sizing.</w:t>
      </w:r>
    </w:p>
    <w:p>
      <w:pPr>
        <w:ind w:left="360" w:hanging="360"/>
      </w:pPr>
      <w:r>
        <w:rPr>
          <w:rFonts w:ascii="Arial" w:hAnsi="Arial"/>
          <w:sz w:val="19"/>
        </w:rPr>
        <w:t>5.  Choose the battery pack, matching charger, and solar panel after the measured load estimate.</w:t>
      </w:r>
    </w:p>
    <w:p>
      <w:pPr>
        <w:ind w:left="360" w:hanging="360"/>
      </w:pPr>
      <w:r>
        <w:rPr>
          <w:rFonts w:ascii="Arial" w:hAnsi="Arial"/>
          <w:sz w:val="19"/>
        </w:rPr>
        <w:t>6.  Use a flashing marine warning light as the night marker; one is needed, two-piece bundles are acceptable as spare.</w:t>
      </w:r>
    </w:p>
    <w:p>
      <w:pPr>
        <w:ind w:left="360" w:hanging="360"/>
      </w:pPr>
      <w:r>
        <w:rPr>
          <w:rFonts w:ascii="Arial" w:hAnsi="Arial"/>
          <w:sz w:val="19"/>
        </w:rPr>
        <w:t>7.  Use Wi-Fi first for lab or near-shore validation. Buy LTE only when the validation site has no reliable Wi-Fi.</w:t>
      </w:r>
    </w:p>
    <w:p>
      <w:pPr>
        <w:spacing w:before="200" w:after="0"/>
      </w:pPr>
      <w:r>
        <w:rPr>
          <w:b/>
          <w:sz w:val="19"/>
        </w:rPr>
        <w:t xml:space="preserve">Price checking reminder: </w:t>
      </w:r>
      <w:r>
        <w:rPr>
          <w:sz w:val="19"/>
        </w:rPr>
        <w:t>Use the listed prices only for proposal validation. Before purchase, re-check current seller price, stock, waterproof rating, voltage, connector type, shipping cost, and seller rating. Do not buy the pressure sensor until the seller confirms the low water-level range and output type.</w:t>
      </w:r>
    </w:p>
    <w:sectPr w:rsidR="00FC693F" w:rsidRPr="0006063C" w:rsidSect="00034616">
      <w:footerReference w:type="default" r:id="rId19"/>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Project FALCON equipment approval handout | proposal validation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