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spacing ns0:after="60"/>
        <ns0:jc ns0:val="center"/>
        <ns0:shd ns0:fill="0F766E"/>
      </ns0:pPr>
      <ns0:r>
        <ns0:rPr>
          <ns0:b/>
          <ns0:color ns0:val="FFFFFF"/>
          <ns0:sz ns0:val="20"/>
        </ns0:rPr>
        <ns0:t>PROJECT FALCON DOCUMENT-CONTROL UPDATE — 10 SEPTEMBER 2026</ns0:t>
      </ns0:r>
    </ns0:p>
    <ns0:p>
      <ns0:pPr>
        <ns0:spacing ns0:after="60"/>
        <ns0:jc ns0:val="center"/>
        <ns0:shd ns0:fill="FEF3C7"/>
      </ns0:pPr>
      <ns0:r>
        <ns0:rPr>
          <ns0:b/>
          <ns0:color ns0:val="B45309"/>
          <ns0:sz ns0:val="18"/>
        </ns0:rPr>
        <ns0:t>STATUS OF THIS COPY: CURRENT SUPPORTING RECORD, subject to the canonical BayStation.docx and docs/PROJECT_CONTEXT.md.</ns0:t>
      </ns0:r>
    </ns0:p>
    <ns0:p>
      <ns0:pPr>
        <ns0:spacing ns0:after="60"/>
        <ns0:jc ns0:val="center"/>
        <ns0:shd ns0:fill="F3F4F6"/>
      </ns0:pPr>
      <ns0:r>
        <ns0:rPr>
          <ns0:b ns0:val="0"/>
          <ns0:color ns0:val="374151"/>
          <ns0:sz ns0:val="16"/>
        </ns0:rPr>
        <ns0:t>Current pressure-sensor baseline: Holykell HPT604 Type A, provisionally 0–2 mH2O vented gauge with 4–20 mA output, is the recommended long-duration deployment candidate. The exact order code, continuous-saltwater suitability, wetted materials, seal, cable and calibration must be confirmed before purchase. The protected 12 V loop requires a 150 ohm 0.1% shunt, input protection/filtering and a 3.3 V ADS1115 receiver. Bar02 is bench-only; its old I2C PCB and wiring are not fabrication-ready. No hardware is represented as purchased or field-validated.</ns0:t>
      </ns0:r>
    </ns0:p>
    <ns0:p>
      <ns0:pPr>
        <ns0:pStyle ns0:val="Heading1"/>
        <ns0:bidi ns0:val="0"/>
        <ns0:spacing ns0:before="240" ns0:after="160"/>
        <ns0:ind ns0:hanging="0" ns0:start="0" ns0:end="0"/>
        <ns0:jc ns0:val="center"/>
        <ns0:rPr/>
      </ns0:pPr>
      <ns0:r>
        <ns0:rPr/>
        <ns0:t>PROJECT FALCON</ns0:t>
      </ns0:r>
    </ns0:p>
    <ns0:p>
      <ns0:pPr>
        <ns0:pStyle ns0:val="BodyText"/>
        <ns0:bidi ns0:val="0"/>
        <ns0:jc ns0:val="center"/>
        <ns0:rPr/>
      </ns0:pPr>
      <ns0:r>
        <ns0:rPr/>
        <ns0:t>Provisional Buoy Power-System Validation Report</ns0:t>
      </ns0:r>
    </ns0:p>
    <ns0:p>
      <ns0:pPr>
        <ns0:pStyle ns0:val="BodyText"/>
        <ns0:bidi ns0:val="0"/>
        <ns0:jc ns0:val="center"/>
        <ns0:rPr/>
      </ns0:pPr>
      <ns0:r>
        <ns0:rPr/>
        <ns0:t>Solar, Battery, Energy Balance, and Endurance Planning</ns0:t>
      </ns0:r>
    </ns0:p>
    <ns0:p>
      <ns0:pPr>
        <ns0:pStyle ns0:val="BodyText"/>
        <ns0:bidi ns0:val="0"/>
        <ns0:jc ns0:val="center"/>
        <ns0:rPr/>
      </ns0:pPr>
      <ns0:r>
        <ns0:rPr/>
        <ns0:t>Planning baseline: 31 August 2026</ns0:t>
        <ns0:br/>
        <ns0:t>Project stage: Undergraduate engineering prototype</ns0:t>
        <ns0:br/>
        <ns0:t xml:space="preserve">Status: Provisional — requires physical load measurement </ns0:t>
      </ns0:r>
      <ns0:r>
        <ns0:br ns0:type="page"/>
      </ns0:r>
    </ns0:p>
    <ns0:p>
      <ns0:pPr>
        <ns0:pStyle ns0:val="Heading2"/>
        <ns0:bidi ns0:val="0"/>
        <ns0:ind ns0:hanging="0" ns0:start="0" ns0:end="0"/>
        <ns0:jc ns0:val="start"/>
        <ns0:rPr/>
      </ns0:pPr>
      <ns0:r>
        <ns0:rPr/>
        <ns0:t>1. Executive Summary</ns0:t>
      </ns0:r>
    </ns0:p>
    <ns0:p>
      <ns0:pPr>
        <ns0:pStyle ns0:val="BodyText"/>
        <ns0:bidi ns0:val="0"/>
        <ns0:jc ns0:val="start"/>
        <ns0:rPr/>
      </ns0:pPr>
      <ns0:r>
        <ns0:rPr/>
        <ns0:t>This report evaluates the provisional electrical-energy requirements of the Project FALCON coastal monitoring buoy. The buoy and shore Bay Station are treated as separate power domains. Only the ESP32, sensors, LTE/cellular telemetry, security electronics, and supporting power circuits are included in the buoy calculation.</ns0:t>
      </ns0:r>
    </ns0:p>
    <ns0:tbl>
      <ns0:tblPr>
        <ns0:tblW ns0:w="5299" ns0:type="dxa"/>
        <ns0:jc ns0:val="start"/>
        <ns0:tblInd ns0:w="0" ns0:type="dxa"/>
        <ns0:shd ns0:fill="EEF6F5" ns0:val="clear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5299"/>
      </ns0:tblGrid>
      <ns0:tr>
        <ns0:trPr/>
        <ns0:tc>
          <ns0:tcPr>
            <ns0:tcW ns0:w="5299" ns0:type="dxa"/>
            <ns0:tcBorders/>
            <ns0:shd ns0:fill="EEF6F5" ns0:val="clear"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>
                <ns0:b/>
              </ns0:rPr>
              <ns0:t>Recommended provisional baseline:</ns0:t>
            </ns0:r>
            <ns0:r>
              <ns0:rPr/>
              <ns0:t xml:space="preserve"> Plan around a 4 W average buoy load, use a 60 W nominal solar panel, and use at least a 30 Ah 12.8 V LiFePO4 battery when the required no-solar autonomy is 72 hours.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/>
        <ns0:t>The existing 20 Ah battery assumption stores 256 Wh nominal and approximately 204.8 Wh at the adopted 80% usable-energy limit. At a 4 W average load, this provides about 51.2 hours without solar, which does not satisfy a 72-hour target.</ns0:t>
      </ns0:r>
    </ns0:p>
    <ns0:p>
      <ns0:pPr>
        <ns0:pStyle ns0:val="Heading2"/>
        <ns0:bidi ns0:val="0"/>
        <ns0:jc ns0:val="start"/>
        <ns0:rPr/>
      </ns0:pPr>
      <ns0:r>
        <ns0:rPr/>
        <ns0:t>2. System Boundary</ns0:t>
      </ns0:r>
    </ns0:p>
    <ns0:p>
      <ns0:pPr>
        <ns0:pStyle ns0:val="BodyText"/>
        <ns0:bidi ns0:val="0"/>
        <ns0:jc ns0:val="start"/>
        <ns0:rPr>
          <ns0:b/>
        </ns0:rPr>
      </ns0:pPr>
      <ns0:r>
        <ns0:rPr>
          <ns0:b/>
        </ns0:rPr>
        <ns0:t>Buoy power path:</ns0:t>
      </ns0:r>
    </ns0:p>
    <ns0:p>
      <ns0:pPr>
        <ns0:pStyle ns0:val="BodyText"/>
        <ns0:bidi ns0:val="0"/>
        <ns0:jc ns0:val="start"/>
        <ns0:rPr/>
      </ns0:pPr>
      <ns0:r>
        <ns0:rPr/>
        <ns0:t>Solar panel → LiFePO4-compatible MPPT → 12.8 V LiFePO4 battery → fused disconnect and protected distribution → regulated rails → ESP32, sensors, LTE modem, and security electronics.</ns0:t>
      </ns0:r>
    </ns0:p>
    <ns0:p>
      <ns0:pPr>
        <ns0:pStyle ns0:val="BodyText"/>
        <ns0:bidi ns0:val="0"/>
        <ns0:jc ns0:val="start"/>
        <ns0:rPr/>
      </ns0:pPr>
      <ns0:r>
        <ns0:rPr/>
        <ns0:t>The shore Bay Station mini PC uses facility power or a separately engineered UPS. Its power consumption is excluded from all buoy autonomy and solar calculations.</ns0:t>
      </ns0:r>
    </ns0:p>
    <ns0:p>
      <ns0:pPr>
        <ns0:pStyle ns0:val="Heading2"/>
        <ns0:bidi ns0:val="0"/>
        <ns0:jc ns0:val="start"/>
        <ns0:rPr/>
      </ns0:pPr>
      <ns0:r>
        <ns0:rPr/>
        <ns0:t>3. Current Assumptions and Limitations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Battery planning voltage: 12.8 V. 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Initial battery candidate: 20 Ah LiFePO4 with BMS. 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Usable-energy planning limit: 80% of nominal capacity. 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Solar planning condition: four peak-sun-hours per day at 70% net yield. 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LTE modem and several supporting parts remain unconfirmed. </ns0:t>
      </ns0:r>
    </ns0:p>
    <ns0:p>
      <ns0:pPr>
        <ns0:pStyle ns0:val="BodyText"/>
        <ns0:numPr>
          <ns0:ilvl ns0:val="0"/>
          <ns0:numId ns0:val="1"/>
        </ns0:numPr>
        <ns0:tabs>
          <ns0:tab ns0:val="clear" ns0:pos="1134"/>
          <ns0:tab ns0:val="left" ns0:pos="829" ns0:leader="none"/>
        </ns0:tabs>
        <ns0:bidi ns0:val="0"/>
        <ns0:ind ns0:hanging="283" ns0:start="829"/>
        <ns0:jc ns0:val="start"/>
        <ns0:rPr/>
      </ns0:pPr>
      <ns0:r>
        <ns0:rPr/>
        <ns0:t xml:space="preserve">All results are planning scenarios until replaced by a complete 24-hour bench measurement. </ns0:t>
      </ns0:r>
    </ns0:p>
    <ns0:tbl>
      <ns0:tblPr>
        <ns0:tblW ns0:w="5299" ns0:type="dxa"/>
        <ns0:jc ns0:val="start"/>
        <ns0:tblInd ns0:w="0" ns0:type="dxa"/>
        <ns0:shd ns0:fill="FFF7ED" ns0:val="clear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5299"/>
      </ns0:tblGrid>
      <ns0:tr>
        <ns0:trPr/>
        <ns0:tc>
          <ns0:tcPr>
            <ns0:tcW ns0:w="5299" ns0:type="dxa"/>
            <ns0:tcBorders/>
            <ns0:shd ns0:fill="FFF7ED" ns0:val="clear"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>
                <ns0:b/>
              </ns0:rPr>
              <ns0:t>Important:</ns0:t>
            </ns0:r>
            <ns0:r>
              <ns0:rPr/>
              <ns0:t xml:space="preserve"> These values are not field-endurance claims. Panel output, conversion efficiency, temperature, fouling, shading, LTE reconnect peaks, battery limits, and weather must be validated physically.</ns0:t>
            </ns0:r>
          </ns0:p>
        </ns0:tc>
      </ns0:tr>
    </ns0:tbl>
    <ns0:p>
      <ns0:pPr>
        <ns0:pStyle ns0:val="Heading2"/>
        <ns0:bidi ns0:val="0"/>
        <ns0:jc ns0:val="start"/>
        <ns0:rPr/>
      </ns0:pPr>
      <ns0:r>
        <ns0:rPr/>
        <ns0:t>4. Whole-Buoy Load Scenarios</ns0:t>
      </ns0:r>
    </ns0:p>
    <ns0:tbl>
      <ns0:tblPr>
        <ns0:tblW ns0:w="5299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186"/>
        <ns0:gridCol ns0:w="1111"/>
        <ns0:gridCol ns0:w="1081"/>
        <ns0:gridCol ns0:w="1921"/>
      </ns0:tblGrid>
      <ns0:tr>
        <ns0:trPr/>
        <ns0:tc>
          <ns0:tcPr>
            <ns0:tcW ns0:w="1186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Scenario</ns0:t>
            </ns0:r>
          </ns0:p>
        </ns0:tc>
        <ns0:tc>
          <ns0:tcPr>
            <ns0:tcW ns0:w="111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Average load</ns0:t>
            </ns0:r>
          </ns0:p>
        </ns0:tc>
        <ns0:tc>
          <ns0:tcPr>
            <ns0:tcW ns0:w="108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Daily demand</ns0:t>
            </ns0:r>
          </ns0:p>
        </ns0:tc>
        <ns0:tc>
          <ns0:tcPr>
            <ns0:tcW ns0:w="192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Purpose</ns0:t>
            </ns0:r>
          </ns0:p>
        </ns0:tc>
      </ns0:tr>
      <ns0:tr>
        <ns0:trPr/>
        <ns0:tc>
          <ns0:tcPr>
            <ns0:tcW ns0:w="118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Low</ns0:t>
            </ns0:r>
          </ns0:p>
        </ns0:tc>
        <ns0:tc>
          <ns0:tcPr>
            <ns0:tcW ns0:w="11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 W</ns0:t>
            </ns0:r>
          </ns0:p>
        </ns0:tc>
        <ns0:tc>
          <ns0:tcPr>
            <ns0:tcW ns0:w="10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48 Wh/day</ns0:t>
            </ns0:r>
          </ns0:p>
        </ns0:tc>
        <ns0:tc>
          <ns0:tcPr>
            <ns0:tcW ns0:w="19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Optimistic duty-cycled operation</ns0:t>
            </ns0:r>
          </ns0:p>
        </ns0:tc>
      </ns0:tr>
      <ns0:tr>
        <ns0:trPr/>
        <ns0:tc>
          <ns0:tcPr>
            <ns0:tcW ns0:w="118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Design</ns0:t>
            </ns0:r>
          </ns0:p>
        </ns0:tc>
        <ns0:tc>
          <ns0:tcPr>
            <ns0:tcW ns0:w="11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 W</ns0:t>
            </ns0:r>
          </ns0:p>
        </ns0:tc>
        <ns0:tc>
          <ns0:tcPr>
            <ns0:tcW ns0:w="10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96 Wh/day</ns0:t>
            </ns0:r>
          </ns0:p>
        </ns0:tc>
        <ns0:tc>
          <ns0:tcPr>
            <ns0:tcW ns0:w="19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Recommended provisional planning baseline</ns0:t>
            </ns0:r>
          </ns0:p>
        </ns0:tc>
      </ns0:tr>
      <ns0:tr>
        <ns0:trPr/>
        <ns0:tc>
          <ns0:tcPr>
            <ns0:tcW ns0:w="118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Stress</ns0:t>
            </ns0:r>
          </ns0:p>
        </ns0:tc>
        <ns0:tc>
          <ns0:tcPr>
            <ns0:tcW ns0:w="11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 W</ns0:t>
            </ns0:r>
          </ns0:p>
        </ns0:tc>
        <ns0:tc>
          <ns0:tcPr>
            <ns0:tcW ns0:w="10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144 Wh/day</ns0:t>
            </ns0:r>
          </ns0:p>
        </ns0:tc>
        <ns0:tc>
          <ns0:tcPr>
            <ns0:tcW ns0:w="19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Continuous or reconnect-heavy upper test case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>
          <ns0:b/>
        </ns0:rPr>
        <ns0:t>Formula:</ns0:t>
      </ns0:r>
      <ns0:r>
        <ns0:rPr/>
        <ns0:t xml:space="preserve"> Daily demand (Wh/day) = average load (W) × 24 h.</ns0:t>
      </ns0:r>
    </ns0:p>
    <ns0:p>
      <ns0:pPr>
        <ns0:pStyle ns0:val="Heading2"/>
        <ns0:bidi ns0:val="0"/>
        <ns0:jc ns0:val="start"/>
        <ns0:rPr/>
      </ns0:pPr>
      <ns0:r>
        <ns0:rPr/>
        <ns0:t>5. Battery Capacity and Autonomy</ns0:t>
      </ns0:r>
    </ns0:p>
    <ns0:p>
      <ns0:pPr>
        <ns0:pStyle ns0:val="BodyText"/>
        <ns0:bidi ns0:val="0"/>
        <ns0:jc ns0:val="start"/>
        <ns0:rPr/>
      </ns0:pPr>
      <ns0:r>
        <ns0:rPr/>
        <ns0:t>Nominal energy of the initial battery: 12.8 V × 20 Ah = 256 Wh. Usable planning energy: 256 Wh × 0.80 = 204.8 Wh.</ns0:t>
      </ns0:r>
    </ns0:p>
    <ns0:tbl>
      <ns0:tblPr>
        <ns0:tblW ns0:w="5299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222"/>
        <ns0:gridCol ns0:w="1173"/>
        <ns0:gridCol ns0:w="1336"/>
        <ns0:gridCol ns0:w="1568"/>
      </ns0:tblGrid>
      <ns0:tr>
        <ns0:trPr/>
        <ns0:tc>
          <ns0:tcPr>
            <ns0:tcW ns0:w="1222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Average load</ns0:t>
            </ns0:r>
          </ns0:p>
        </ns0:tc>
        <ns0:tc>
          <ns0:tcPr>
            <ns0:tcW ns0:w="1173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20 Ah runtime</ns0:t>
            </ns0:r>
          </ns0:p>
        </ns0:tc>
        <ns0:tc>
          <ns0:tcPr>
            <ns0:tcW ns0:w="1336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Autonomy</ns0:t>
            </ns0:r>
          </ns0:p>
        </ns0:tc>
        <ns0:tc>
          <ns0:tcPr>
            <ns0:tcW ns0:w="1568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Capacity required for 72 h</ns0:t>
            </ns0:r>
          </ns0:p>
        </ns0:tc>
      </ns0:tr>
      <ns0:tr>
        <ns0:trPr/>
        <ns0:tc>
          <ns0:tcPr>
            <ns0:tcW ns0:w="122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 W</ns0:t>
            </ns0:r>
          </ns0:p>
        </ns0:tc>
        <ns0:tc>
          <ns0:tcPr>
            <ns0:tcW ns0:w="117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102.4 h</ns0:t>
            </ns0:r>
          </ns0:p>
        </ns0:tc>
        <ns0:tc>
          <ns0:tcPr>
            <ns0:tcW ns0:w="13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4.27 days</ns0:t>
            </ns0:r>
          </ns0:p>
        </ns0:tc>
        <ns0:tc>
          <ns0:tcPr>
            <ns0:tcW ns0:w="156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14.1 Ah; select at least 15 Ah</ns0:t>
            </ns0:r>
          </ns0:p>
        </ns0:tc>
      </ns0:tr>
      <ns0:tr>
        <ns0:trPr/>
        <ns0:tc>
          <ns0:tcPr>
            <ns0:tcW ns0:w="122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 W</ns0:t>
            </ns0:r>
          </ns0:p>
        </ns0:tc>
        <ns0:tc>
          <ns0:tcPr>
            <ns0:tcW ns0:w="117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51.2 h</ns0:t>
            </ns0:r>
          </ns0:p>
        </ns0:tc>
        <ns0:tc>
          <ns0:tcPr>
            <ns0:tcW ns0:w="13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2.13 days</ns0:t>
            </ns0:r>
          </ns0:p>
        </ns0:tc>
        <ns0:tc>
          <ns0:tcPr>
            <ns0:tcW ns0:w="156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28.1 Ah; select at least 30 Ah</ns0:t>
            </ns0:r>
          </ns0:p>
        </ns0:tc>
      </ns0:tr>
      <ns0:tr>
        <ns0:trPr/>
        <ns0:tc>
          <ns0:tcPr>
            <ns0:tcW ns0:w="122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 W</ns0:t>
            </ns0:r>
          </ns0:p>
        </ns0:tc>
        <ns0:tc>
          <ns0:tcPr>
            <ns0:tcW ns0:w="117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34.1 h</ns0:t>
            </ns0:r>
          </ns0:p>
        </ns0:tc>
        <ns0:tc>
          <ns0:tcPr>
            <ns0:tcW ns0:w="13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1.42 days</ns0:t>
            </ns0:r>
          </ns0:p>
        </ns0:tc>
        <ns0:tc>
          <ns0:tcPr>
            <ns0:tcW ns0:w="156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42.2 Ah; select at least 45 Ah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>
          <ns0:b/>
        </ns0:rPr>
        <ns0:t>Formula:</ns0:t>
      </ns0:r>
      <ns0:r>
        <ns0:rPr/>
        <ns0:t xml:space="preserve"> Required Ah = average W × autonomy hours ÷ (12.8 V × 0.80).</ns0:t>
      </ns0:r>
    </ns0:p>
    <ns0:p>
      <ns0:pPr>
        <ns0:pStyle ns0:val="Heading2"/>
        <ns0:bidi ns0:val="0"/>
        <ns0:jc ns0:val="start"/>
        <ns0:rPr/>
      </ns0:pPr>
      <ns0:r>
        <ns0:rPr/>
        <ns0:t>6. Solar-Energy Balance</ns0:t>
      </ns0:r>
    </ns0:p>
    <ns0:p>
      <ns0:pPr>
        <ns0:pStyle ns0:val="BodyText"/>
        <ns0:bidi ns0:val="0"/>
        <ns0:jc ns0:val="start"/>
        <ns0:rPr/>
      </ns0:pPr>
      <ns0:r>
        <ns0:rPr/>
        <ns0:t>Planning harvest = panel rating × 4 peak-sun-hours × 0.70 net yield. The resulting daily harvest is 112 Wh for a 40 W panel and 168 Wh for a 60 W panel.</ns0:t>
      </ns0:r>
    </ns0:p>
    <ns0:tbl>
      <ns0:tblPr>
        <ns0:tblW ns0:w="5299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341"/>
        <ns0:gridCol ns0:w="1328"/>
        <ns0:gridCol ns0:w="1292"/>
        <ns0:gridCol ns0:w="1338"/>
      </ns0:tblGrid>
      <ns0:tr>
        <ns0:trPr/>
        <ns0:tc>
          <ns0:tcPr>
            <ns0:tcW ns0:w="134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Average load</ns0:t>
            </ns0:r>
          </ns0:p>
        </ns0:tc>
        <ns0:tc>
          <ns0:tcPr>
            <ns0:tcW ns0:w="1328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Daily demand</ns0:t>
            </ns0:r>
          </ns0:p>
        </ns0:tc>
        <ns0:tc>
          <ns0:tcPr>
            <ns0:tcW ns0:w="1292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40 W balance</ns0:t>
            </ns0:r>
          </ns0:p>
        </ns0:tc>
        <ns0:tc>
          <ns0:tcPr>
            <ns0:tcW ns0:w="1338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60 W balance</ns0:t>
            </ns0:r>
          </ns0:p>
        </ns0:tc>
      </ns0:tr>
      <ns0:tr>
        <ns0:trPr/>
        <ns0:tc>
          <ns0:tcPr>
            <ns0:tcW ns0:w="13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 W</ns0:t>
            </ns0:r>
          </ns0:p>
        </ns0:tc>
        <ns0:tc>
          <ns0:tcPr>
            <ns0:tcW ns0:w="132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48 Wh</ns0:t>
            </ns0:r>
          </ns0:p>
        </ns0:tc>
        <ns0:tc>
          <ns0:tcPr>
            <ns0:tcW ns0:w="129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+64 Wh/day</ns0:t>
            </ns0:r>
          </ns0:p>
        </ns0:tc>
        <ns0:tc>
          <ns0:tcPr>
            <ns0:tcW ns0:w="133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+120 Wh/day</ns0:t>
            </ns0:r>
          </ns0:p>
        </ns0:tc>
      </ns0:tr>
      <ns0:tr>
        <ns0:trPr/>
        <ns0:tc>
          <ns0:tcPr>
            <ns0:tcW ns0:w="13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 W</ns0:t>
            </ns0:r>
          </ns0:p>
        </ns0:tc>
        <ns0:tc>
          <ns0:tcPr>
            <ns0:tcW ns0:w="132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96 Wh</ns0:t>
            </ns0:r>
          </ns0:p>
        </ns0:tc>
        <ns0:tc>
          <ns0:tcPr>
            <ns0:tcW ns0:w="129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+16 Wh/day</ns0:t>
            </ns0:r>
          </ns0:p>
        </ns0:tc>
        <ns0:tc>
          <ns0:tcPr>
            <ns0:tcW ns0:w="133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+72 Wh/day</ns0:t>
            </ns0:r>
          </ns0:p>
        </ns0:tc>
      </ns0:tr>
      <ns0:tr>
        <ns0:trPr/>
        <ns0:tc>
          <ns0:tcPr>
            <ns0:tcW ns0:w="13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 W</ns0:t>
            </ns0:r>
          </ns0:p>
        </ns0:tc>
        <ns0:tc>
          <ns0:tcPr>
            <ns0:tcW ns0:w="132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144 Wh</ns0:t>
            </ns0:r>
          </ns0:p>
        </ns0:tc>
        <ns0:tc>
          <ns0:tcPr>
            <ns0:tcW ns0:w="129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−</ns0:t>
            </ns0:r>
            <ns0:r>
              <ns0:rPr/>
              <ns0:t>32 Wh/day</ns0:t>
            </ns0:r>
          </ns0:p>
        </ns0:tc>
        <ns0:tc>
          <ns0:tcPr>
            <ns0:tcW ns0:w="133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+24 Wh/day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/>
        <ns0:t>A positive balance represents theoretical energy available for battery recovery after supporting that day's buoy load. It does not guarantee actual field performance.</ns0:t>
      </ns0:r>
    </ns0:p>
    <ns0:p>
      <ns0:pPr>
        <ns0:pStyle ns0:val="Heading3"/>
        <ns0:bidi ns0:val="0"/>
        <ns0:jc ns0:val="start"/>
        <ns0:rPr/>
      </ns0:pPr>
      <ns0:r>
        <ns0:rPr/>
        <ns0:t>6.1 Panel Rating with 25% Planning Margin</ns0:t>
      </ns0:r>
    </ns0:p>
    <ns0:tbl>
      <ns0:tblPr>
        <ns0:tblW ns0:w="5299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449"/>
        <ns0:gridCol ns0:w="1835"/>
        <ns0:gridCol ns0:w="2015"/>
      </ns0:tblGrid>
      <ns0:tr>
        <ns0:trPr/>
        <ns0:tc>
          <ns0:tcPr>
            <ns0:tcW ns0:w="1449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Average load</ns0:t>
            </ns0:r>
          </ns0:p>
        </ns0:tc>
        <ns0:tc>
          <ns0:tcPr>
            <ns0:tcW ns0:w="1835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Break-even panel</ns0:t>
            </ns0:r>
          </ns0:p>
        </ns0:tc>
        <ns0:tc>
          <ns0:tcPr>
            <ns0:tcW ns0:w="2015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Panel with 25% margin</ns0:t>
            </ns0:r>
          </ns0:p>
        </ns0:tc>
      </ns0:tr>
      <ns0:tr>
        <ns0:trPr/>
        <ns0:tc>
          <ns0:tcPr>
            <ns0:tcW ns0:w="144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 W</ns0:t>
            </ns0:r>
          </ns0:p>
        </ns0:tc>
        <ns0:tc>
          <ns0:tcPr>
            <ns0:tcW ns0:w="183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17.1 W</ns0:t>
            </ns0:r>
          </ns0:p>
        </ns0:tc>
        <ns0:tc>
          <ns0:tcPr>
            <ns0:tcW ns0:w="201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21.4 W</ns0:t>
            </ns0:r>
          </ns0:p>
        </ns0:tc>
      </ns0:tr>
      <ns0:tr>
        <ns0:trPr/>
        <ns0:tc>
          <ns0:tcPr>
            <ns0:tcW ns0:w="144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 W</ns0:t>
            </ns0:r>
          </ns0:p>
        </ns0:tc>
        <ns0:tc>
          <ns0:tcPr>
            <ns0:tcW ns0:w="183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34.3 W</ns0:t>
            </ns0:r>
          </ns0:p>
        </ns0:tc>
        <ns0:tc>
          <ns0:tcPr>
            <ns0:tcW ns0:w="201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42.9 W</ns0:t>
            </ns0:r>
          </ns0:p>
        </ns0:tc>
      </ns0:tr>
      <ns0:tr>
        <ns0:trPr/>
        <ns0:tc>
          <ns0:tcPr>
            <ns0:tcW ns0:w="144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 W</ns0:t>
            </ns0:r>
          </ns0:p>
        </ns0:tc>
        <ns0:tc>
          <ns0:tcPr>
            <ns0:tcW ns0:w="183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51.4 W</ns0:t>
            </ns0:r>
          </ns0:p>
        </ns0:tc>
        <ns0:tc>
          <ns0:tcPr>
            <ns0:tcW ns0:w="201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64.3 W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/>
        <ns0:t>The 60 W candidate provides the required planning margin at the 4 W design load. It does not provide a full 25% margin if the measured average reaches 6 W.</ns0:t>
      </ns0:r>
    </ns0:p>
    <ns0:p>
      <ns0:pPr>
        <ns0:pStyle ns0:val="Heading3"/>
        <ns0:bidi ns0:val="0"/>
        <ns0:jc ns0:val="start"/>
        <ns0:rPr/>
      </ns0:pPr>
      <ns0:r>
        <ns0:rPr/>
        <ns0:t>6.2 Poor-Weather Sensitivity</ns0:t>
      </ns0:r>
    </ns0:p>
    <ns0:p>
      <ns0:pPr>
        <ns0:pStyle ns0:val="BodyText"/>
        <ns0:bidi ns0:val="0"/>
        <ns0:jc ns0:val="start"/>
        <ns0:rPr/>
      </ns0:pPr>
      <ns0:r>
        <ns0:rPr/>
        <ns0:t>Using a conservative day of two peak-sun-hours at 60% net yield:</ns0:t>
      </ns0:r>
    </ns0:p>
    <ns0:tbl>
      <ns0:tblPr>
        <ns0:tblW ns0:w="5299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841"/>
        <ns0:gridCol ns0:w="1597"/>
        <ns0:gridCol ns0:w="2861"/>
      </ns0:tblGrid>
      <ns0:tr>
        <ns0:trPr/>
        <ns0:tc>
          <ns0:tcPr>
            <ns0:tcW ns0:w="84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Panel</ns0:t>
            </ns0:r>
          </ns0:p>
        </ns0:tc>
        <ns0:tc>
          <ns0:tcPr>
            <ns0:tcW ns0:w="1597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Daily harvest</ns0:t>
            </ns0:r>
          </ns0:p>
        </ns0:tc>
        <ns0:tc>
          <ns0:tcPr>
            <ns0:tcW ns0:w="2861" ns0:type="dxa"/>
            <ns0:tcBorders/>
            <ns0:vAlign ns0:val="center"/>
          </ns0:tcPr>
          <ns0:p>
            <ns0:pPr>
              <ns0:pStyle ns0:val="TableHeading"/>
              <ns0:suppressLineNumbers/>
              <ns0:shd ns0:fill="DBEAFE" ns0:val="clear"/>
              <ns0:bidi ns0:val="0"/>
              <ns0:spacing ns0:before="120" ns0:after="120"/>
              <ns0:jc ns0:val="center"/>
              <ns0:rPr/>
            </ns0:pPr>
            <ns0:r>
              <ns0:rPr/>
              <ns0:t>Break-even average load</ns0:t>
            </ns0:r>
          </ns0:p>
        </ns0:tc>
      </ns0:tr>
      <ns0:tr>
        <ns0:trPr/>
        <ns0:tc>
          <ns0:tcPr>
            <ns0:tcW ns0:w="8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40 W</ns0:t>
            </ns0:r>
          </ns0:p>
        </ns0:tc>
        <ns0:tc>
          <ns0:tcPr>
            <ns0:tcW ns0:w="159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48 Wh/day</ns0:t>
            </ns0:r>
          </ns0:p>
        </ns0:tc>
        <ns0:tc>
          <ns0:tcPr>
            <ns0:tcW ns0:w="28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2 W</ns0:t>
            </ns0:r>
          </ns0:p>
        </ns0:tc>
      </ns0:tr>
      <ns0:tr>
        <ns0:trPr/>
        <ns0:tc>
          <ns0:tcPr>
            <ns0:tcW ns0:w="8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60 W</ns0:t>
            </ns0:r>
          </ns0:p>
        </ns0:tc>
        <ns0:tc>
          <ns0:tcPr>
            <ns0:tcW ns0:w="159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72 Wh/day</ns0:t>
            </ns0:r>
          </ns0:p>
        </ns0:tc>
        <ns0:tc>
          <ns0:tcPr>
            <ns0:tcW ns0:w="28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20" ns0:after="120"/>
              <ns0:jc ns0:val="start"/>
              <ns0:rPr/>
            </ns0:pPr>
            <ns0:r>
              <ns0:rPr/>
              <ns0:t>3 W</ns0:t>
            </ns0:r>
          </ns0:p>
        </ns0:tc>
      </ns0:tr>
    </ns0:tbl>
    <ns0:p>
      <ns0:pPr>
        <ns0:pStyle ns0:val="BodyText"/>
        <ns0:bidi ns0:val="0"/>
        <ns0:jc ns0:val="start"/>
        <ns0:rPr/>
      </ns0:pPr>
      <ns0:r>
        <ns0:rPr/>
        <ns0:t>The battery supplies the remaining deficit when the buoy load exceeds these break-even values.</ns0:t>
      </ns0:r>
    </ns0:p>
    <ns0:p>
      <ns0:pPr>
        <ns0:pStyle ns0:val="Heading2"/>
        <ns0:bidi ns0:val="0"/>
        <ns0:jc ns0:val="start"/>
        <ns0:rPr/>
      </ns0:pPr>
      <ns0:r>
        <ns0:rPr/>
        <ns0:t>7. Provisional Recommendation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Use 4 W as the design-planning average until measured data are available.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Use a 60 W nominal solar candidate for the supervised prototype.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Retain 20 Ah only for early testing or a verified shorter autonomy requirement.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Use at least 30 Ah LiFePO4 for a 72-hour target at a verified 4 W average.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Freeze the LTE modem before final converter, fuse, conductor, and connector sizing.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829" ns0:leader="none"/>
        </ns0:tabs>
        <ns0:bidi ns0:val="0"/>
        <ns0:ind ns0:hanging="283" ns0:start="829"/>
        <ns0:jc ns0:val="start"/>
        <ns0:rPr/>
      </ns0:pPr>
      <ns0:r>
        <ns0:rPr/>
        <ns0:t xml:space="preserve">Verify panel Voc/Isc, MPPT charge profile, battery BMS limits, and enclosure temperature before deployment. </ns0:t>
      </ns0:r>
    </ns0:p>
    <ns0:p>
      <ns0:pPr>
        <ns0:pStyle ns0:val="Heading2"/>
        <ns0:bidi ns0:val="0"/>
        <ns0:jc ns0:val="start"/>
        <ns0:rPr/>
      </ns0:pPr>
      <ns0:r>
        <ns0:rPr/>
        <ns0:t>8. Required Measurement Procedure</ns0:t>
      </ns0:r>
    </ns0:p>
    <ns0:p>
      <ns0:pPr>
        <ns0:pStyle ns0:val="BodyText"/>
        <ns0:bidi ns0:val="0"/>
        <ns0:jc ns0:val="start"/>
        <ns0:rPr/>
      </ns0:pPr>
      <ns0:r>
        <ns0:rPr/>
        <ns0:t>Log each power branch at one-second resolution during LTE registration, reconnect, and transmit tests, then at one-minute resolution during a complete 24-hour test. Record timestamp, input voltage, current, operating state, and enclosure temperature.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Instantaneous W = V × A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Interval Wh = W × interval seconds ÷ 3600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Daily Wh = sum of interval Wh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Average W = daily Wh ÷ 24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829" ns0:leader="none"/>
        </ns0:tabs>
        <ns0:bidi ns0:val="0"/>
        <ns0:ind ns0:hanging="283" ns0:start="829"/>
        <ns0:jc ns0:val="start"/>
        <ns0:rPr/>
      </ns0:pPr>
      <ns0:r>
        <ns0:rPr/>
        <ns0:t xml:space="preserve">Peak current = maximum captured value, not the daily average </ns0:t>
      </ns0:r>
    </ns0:p>
    <ns0:p>
      <ns0:pPr>
        <ns0:pStyle ns0:val="BodyText"/>
        <ns0:bidi ns0:val="0"/>
        <ns0:jc ns0:val="start"/>
        <ns0:rPr/>
      </ns0:pPr>
      <ns0:r>
        <ns0:rPr/>
        <ns0:t>Measure at converter inputs so conversion losses are included once. Perform a minimum 72-hour supervised solar-endurance trial and repeat modem registration/reconnect events to confirm that no branch browns out.</ns0:t>
      </ns0:r>
    </ns0:p>
    <ns0:p>
      <ns0:pPr>
        <ns0:pStyle ns0:val="Heading2"/>
        <ns0:bidi ns0:val="0"/>
        <ns0:jc ns0:val="start"/>
        <ns0:rPr/>
      </ns0:pPr>
      <ns0:r>
        <ns0:rPr/>
        <ns0:t>9. Acceptance Gates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No ESP32 or LTE brownout during repeated modem registration and transmission peaks.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Every fuse, wire, connector, switch, and converter is rated from measured peak and fault requirements.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Battery, BMS, MPPT, and panel compatibility is documented using exact datasheets.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829" ns0:leader="none"/>
        </ns0:tabs>
        <ns0:bidi ns0:val="0"/>
        <ns0:spacing ns0:before="120" ns0:after="0"/>
        <ns0:ind ns0:hanging="283" ns0:start="829"/>
        <ns0:jc ns0:val="start"/>
        <ns0:rPr/>
      </ns0:pPr>
      <ns0:r>
        <ns0:rPr/>
        <ns0:t xml:space="preserve">The complete 24-hour load log and 72-hour supervised solar trial pass.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829" ns0:leader="none"/>
        </ns0:tabs>
        <ns0:bidi ns0:val="0"/>
        <ns0:ind ns0:hanging="283" ns0:start="829"/>
        <ns0:jc ns0:val="start"/>
        <ns0:rPr/>
      </ns0:pPr>
      <ns0:r>
        <ns0:rPr/>
        <ns0:t xml:space="preserve">Thermal rise, voltage drop, ripple, transient behavior, and enclosure safety remain within approved limits. </ns0:t>
      </ns0:r>
    </ns0:p>
    <ns0:p>
      <ns0:pPr>
        <ns0:pStyle ns0:val="Heading2"/>
        <ns0:bidi ns0:val="0"/>
        <ns0:jc ns0:val="start"/>
        <ns0:rPr/>
      </ns0:pPr>
      <ns0:r>
        <ns0:rPr/>
        <ns0:t>10. Conclusion</ns0:t>
      </ns0:r>
    </ns0:p>
    <ns0:p>
      <ns0:pPr>
        <ns0:pStyle ns0:val="BodyText"/>
        <ns0:bidi ns0:val="0"/>
        <ns0:jc ns0:val="start"/>
        <ns0:rPr/>
      </ns0:pPr>
      <ns0:r>
        <ns0:rPr/>
        <ns0:t>The preliminary analysis supports a 60 W solar panel and a 30 Ah 12.8 V LiFePO4 battery as the safer planning baseline when Project FALCON targets a 4 W average buoy load and 72 hours of no-solar autonomy. Final ratings must be updated from measured data after all installed components—especially the LTE modem—are selected.</ns0:t>
      </ns0:r>
    </ns0:p>
    <ns0:p>
      <ns0:pPr>
        <ns0:pStyle ns0:val="BodyTextsmall"/>
        <ns0:bidi ns0:val="0"/>
        <ns0:spacing ns0:before="120" ns0:after="120"/>
        <ns0:jc ns0:val="start"/>
        <ns0:rPr/>
      </ns0:pPr>
      <ns0:r>
        <ns0:rPr/>
        <ns0:t>Source documents: docs/POWER_SYSTEM.md and docs/POWER_CALCULATIONS.md. This report is a planning document and not a fabrication or deployment release.</ns0:t>
      </ns0:r>
    </ns0:p>
    <ns0:sectPr>
      <ns0:type ns0:val="nextPage"/>
      <ns0:pgSz ns0:w="11906" ns0:h="16838"/>
      <ns0:pgMar ns0:left="1134" ns0:right="1134" ns0:gutter="0" ns0:header="0" ns0:top="1247" ns0:footer="0" ns0:bottom="1247"/>
      <ns0:pgNumType ns0:fmt="decimal"/>
      <ns0:formProt ns0:val="false"/>
      <ns0:textDirection ns0:val="lrTb"/>
      <ns0:docGrid ns0:type="default" ns0:linePitch="600" ns0:charSpace="36864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60"/>
    </w:pPr>
    <w:rPr>
      <w:rFonts w:ascii="Noto Sans" w:hAnsi="Noto Sans"/>
      <w:b/>
      <w:bCs/>
      <w:color w:val="0F4C5C"/>
      <w:sz w:val="50"/>
      <w:szCs w:val="50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94A3B8"/>
      </w:pBd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0F4C5C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color w:val="334155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BEAFE" w:val="clear"/>
      <w:jc w:val="center"/>
    </w:pPr>
    <w:rPr>
      <w:b/>
      <w:bCs/>
      <w:color w:val="1E3A5F"/>
    </w:rPr>
  </w:style>
  <w:style w:type="paragraph" w:styleId="BodyTextsmall">
    <w:name w:val="Body Text.small"/>
    <w:basedOn w:val="BodyText"/>
    <w:qFormat/>
    <w:pPr/>
    <w:rPr>
      <w:color w:val="64748B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2026-09-10T17:06:09Z</dcterms:modified>
  <dc:description>Pressure-sensor baseline synchronized 2026-09-10. HPT604 is a candidate; Bar02 is bench-only. Planned hardware remains unvalidated.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