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after="60"/>
        <w:jc w:val="center"/>
        <w:shd w:fill="0F766E"/>
      </w:pPr>
      <w:r>
        <w:rPr>
          <w:b/>
          <w:color w:val="FFFFFF"/>
          <w:sz w:val="20"/>
        </w:rPr>
        <w:t>PROJECT FALCON DOCUMENT-CONTROL UPDATE — 10 SEPTEMBER 2026</w:t>
      </w:r>
    </w:p>
    <w:p>
      <w:pPr>
        <w:spacing w:after="60"/>
        <w:jc w:val="center"/>
        <w:shd w:fill="FEF3C7"/>
      </w:pPr>
      <w:r>
        <w:rPr>
          <w:b/>
          <w:color w:val="B45309"/>
          <w:sz w:val="18"/>
        </w:rPr>
        <w:t>STATUS OF THIS COPY: LEGACY / SUPERSEDED REFERENCE. Use BayStation.docx and docs/PROJECT_CONTEXT.md for the current thesis and architecture.</w:t>
      </w:r>
    </w:p>
    <w:p>
      <w:pPr>
        <w:spacing w:after="60"/>
        <w:jc w:val="center"/>
        <w:shd w:fill="F3F4F6"/>
      </w:pPr>
      <w:r>
        <w:rPr>
          <w:b w:val="0"/>
          <w:color w:val="374151"/>
          <w:sz w:val="16"/>
        </w:rPr>
        <w:t>Current pressure-sensor baseline: Holykell HPT604 Type A, provisionally 0–2 mH2O vented gauge with 4–20 mA output, is the recommended long-duration deployment candidate. The exact order code, continuous-saltwater suitability, wetted materials, seal, cable and calibration must be confirmed before purchase. The protected 12 V loop requires a 150 ohm 0.1% shunt, input protection/filtering and a 3.3 V ADS1115 receiver. Bar02 is bench-only; its old I2C PCB and wiring are not fabrication-ready. No hardware is represented as purchased or field-validated.</w:t>
      </w:r>
    </w:p>
    <w:p>
      <w:pPr>
        <w:pStyle w:val="BodyText"/>
        <w:bidi w:val="0"/>
        <w:spacing w:before="100" w:after="100"/>
        <w:jc w:val="start"/>
        <w:rPr/>
      </w:pPr>
      <w:r>
        <w:rPr/>
        <w:t>PROJECT FALCON-01</w:t>
      </w:r>
    </w:p>
    <w:p>
      <w:pPr>
        <w:pStyle w:val="Heading1"/>
        <w:bidi w:val="0"/>
        <w:jc w:val="start"/>
        <w:rPr/>
      </w:pPr>
      <w:r>
        <w:rPr/>
        <w:t>Sensor Selection and</w:t>
        <w:br/>
        <w:t>System Architecture</w:t>
      </w:r>
    </w:p>
    <w:p>
      <w:pPr>
        <w:pStyle w:val="BodyText"/>
        <w:bidi w:val="0"/>
        <w:jc w:val="start"/>
        <w:rPr/>
      </w:pPr>
      <w:r>
        <w:rPr/>
        <w:t>A defensible Phase 1 component baseline for prototype development, thesis documentation, calibration planning, and future marine deployment.</w:t>
      </w:r>
    </w:p>
    <w:p>
      <w:pPr>
        <w:pStyle w:val="BodyText"/>
        <w:bidi w:val="0"/>
        <w:jc w:val="start"/>
        <w:rPr/>
      </w:pPr>
      <w:r>
        <w:rPr>
          <w:rStyle w:val="Strong"/>
        </w:rPr>
        <w:t>Revision 1.0</w:t>
      </w:r>
    </w:p>
    <w:p>
      <w:pPr>
        <w:pStyle w:val="BodyText"/>
        <w:bidi w:val="0"/>
        <w:jc w:val="start"/>
        <w:rPr/>
      </w:pPr>
      <w:r>
        <w:rPr/>
        <w:t>Prepared 31 August 2026</w:t>
        <w:br/>
        <w:t>Adviser-aligned engineering baseline</w:t>
        <w:br/>
      </w:r>
      <w:r>
        <w:rPr>
          <w:rStyle w:val="Strong"/>
        </w:rPr>
        <w:t>Not yet a fabrication or deployment release</w:t>
      </w:r>
      <w:r>
        <w:br w:type="page"/>
      </w:r>
    </w:p>
    <w:p>
      <w:pPr>
        <w:pStyle w:val="Heading2"/>
        <w:bidi w:val="0"/>
        <w:ind w:hanging="0" w:start="0" w:end="0"/>
        <w:jc w:val="start"/>
        <w:rPr/>
      </w:pPr>
      <w:r>
        <w:rPr/>
        <w:t>1. Executive decision</w:t>
      </w:r>
    </w:p>
    <w:p>
      <w:pPr>
        <w:pStyle w:val="BodyText"/>
        <w:bidi w:val="0"/>
        <w:jc w:val="start"/>
        <w:rPr/>
      </w:pPr>
      <w:r>
        <w:rPr/>
        <w:t>Project FALCON will estimate wave height from a submerged pressure time series. An ESP32 acquires and validates the measurements, then sends them through an approved cellular link to a shore Bay Station. The Bay Station stores the data, performs pressure-derived wave processing, runs the required prediction model, and serves the dashboard and alerts.</w:t>
      </w:r>
    </w:p>
    <w:tbl>
      <w:tblPr>
        <w:tblW w:w="6119" w:type="dxa"/>
        <w:jc w:val="start"/>
        <w:tblInd w:w="0" w:type="dxa"/>
        <w:tblLayout w:type="fixed"/>
        <w:tblCellMar>
          <w:top w:w="28" w:type="dxa"/>
          <w:start w:w="28" w:type="dxa"/>
          <w:bottom w:w="28" w:type="dxa"/>
          <w:end w:w="28" w:type="dxa"/>
        </w:tblCellMar>
      </w:tblPr>
      <w:tblGrid>
        <w:gridCol w:w="6119"/>
      </w:tblGrid>
      <w:tr>
        <w:trPr/>
        <w:tc>
          <w:tcPr>
            <w:tcW w:w="6119" w:type="dxa"/>
            <w:tcBorders/>
            <w:shd w:fill="EEF6F7" w:val="clear"/>
            <w:vAlign w:val="center"/>
          </w:tcPr>
          <w:p>
            <w:pPr>
              <w:pStyle w:val="TableContents"/>
              <w:bidi w:val="0"/>
              <w:spacing w:before="100" w:after="100"/>
              <w:ind w:hanging="0" w:start="0" w:end="0"/>
              <w:jc w:val="start"/>
              <w:rPr/>
            </w:pPr>
            <w:r>
              <w:rPr>
                <w:rStyle w:val="Strong"/>
              </w:rPr>
              <w:t>Core decision:</w:t>
            </w:r>
            <w:r>
              <w:rPr/>
              <w:t xml:space="preserve"> the BNO085 is not required. Buoy motion remains visible in the dashboard, but the Phase 1 wave estimate is pressure-based. A separate low-complexity accelerometer may be added later only for tamper detection—not for the wave-height claim.</w:t>
            </w:r>
          </w:p>
        </w:tc>
      </w:tr>
    </w:tbl>
    <w:p>
      <w:pPr>
        <w:pStyle w:val="BodyText"/>
        <w:bidi w:val="0"/>
        <w:jc w:val="start"/>
        <w:rPr/>
      </w:pPr>
      <w:r>
        <w:rPr/>
        <w:t>The exact prototype components are now identified where evidence supports them. Components that are not marine-qualified or have unresolved installation risks are explicitly marked as bench-only or proposed candidates.</w:t>
      </w:r>
    </w:p>
    <w:p>
      <w:pPr>
        <w:pStyle w:val="Heading2"/>
        <w:bidi w:val="0"/>
        <w:jc w:val="start"/>
        <w:rPr/>
      </w:pPr>
      <w:r>
        <w:rPr/>
        <w:t>2. Functional architecture</w:t>
      </w:r>
    </w:p>
    <w:tbl>
      <w:tblPr>
        <w:tblW w:w="6119" w:type="dxa"/>
        <w:jc w:val="start"/>
        <w:tblInd w:w="0" w:type="dxa"/>
        <w:tblLayout w:type="fixed"/>
        <w:tblCellMar>
          <w:top w:w="28" w:type="dxa"/>
          <w:start w:w="28" w:type="dxa"/>
          <w:bottom w:w="28" w:type="dxa"/>
          <w:end w:w="28" w:type="dxa"/>
        </w:tblCellMar>
      </w:tblPr>
      <w:tblGrid>
        <w:gridCol w:w="6119"/>
      </w:tblGrid>
      <w:tr>
        <w:trPr/>
        <w:tc>
          <w:tcPr>
            <w:tcW w:w="6119" w:type="dxa"/>
            <w:tcBorders/>
            <w:shd w:fill="EFF5F8" w:val="clear"/>
            <w:vAlign w:val="center"/>
          </w:tcPr>
          <w:p>
            <w:pPr>
              <w:pStyle w:val="TableContents"/>
              <w:bidi w:val="0"/>
              <w:spacing w:before="100" w:after="100"/>
              <w:ind w:hanging="0" w:start="0" w:end="0"/>
              <w:jc w:val="start"/>
              <w:rPr>
                <w:rFonts w:ascii="Consolas;monospace" w:hAnsi="Consolas;monospace"/>
              </w:rPr>
            </w:pPr>
            <w:r>
              <w:rPr>
                <w:rFonts w:ascii="Consolas;monospace" w:hAnsi="Consolas;monospace"/>
              </w:rPr>
              <w:t>Marine environment</w:t>
              <w:br/>
              <w:t>↓</w:t>
              <w:br/>
              <w:t>Pressure · Wind · GPS · Water temperature</w:t>
              <w:br/>
              <w:t>↓</w:t>
              <w:br/>
              <w:t>Protected interfaces → ESP32 acquisition, validation and buffering</w:t>
              <w:br/>
              <w:t>↓</w:t>
              <w:br/>
              <w:t>Approved LTE/cellular modem → Mobile network</w:t>
              <w:br/>
              <w:t>↓</w:t>
              <w:br/>
              <w:t>Shore Bay Station</w:t>
              <w:br/>
              <w:t>↓</w:t>
              <w:br/>
              <w:t>Database → Pressure-derived wave estimate → AI prediction → Dashboard/alerts</w:t>
              <w:br/>
              <w:br/>
              <w:t>Battery + Solar → INA260 monitors → ESP32 health telemetry</w:t>
              <w:br/>
              <w:t>Enclosure contact (+ optional tamper accelerometer) → Security-state logic</w:t>
            </w:r>
          </w:p>
        </w:tc>
      </w:tr>
    </w:tbl>
    <w:p>
      <w:pPr>
        <w:pStyle w:val="BodyText"/>
        <w:bidi w:val="0"/>
        <w:jc w:val="start"/>
        <w:rPr/>
      </w:pPr>
      <w:r>
        <w:rPr/>
        <w:t>The Orange Pi is not installed on the buoy under the current architecture. The shore Bay Station performs the heavier storage and processing tasks.</w:t>
      </w:r>
    </w:p>
    <w:p>
      <w:pPr>
        <w:pStyle w:val="Heading2"/>
        <w:bidi w:val="0"/>
        <w:jc w:val="start"/>
        <w:rPr/>
      </w:pPr>
      <w:r>
        <w:rPr/>
        <w:t>3. Status meanings</w:t>
      </w:r>
    </w:p>
    <w:tbl>
      <w:tblPr>
        <w:tblW w:w="6119" w:type="dxa"/>
        <w:jc w:val="start"/>
        <w:tblInd w:w="0" w:type="dxa"/>
        <w:tblLayout w:type="fixed"/>
        <w:tblCellMar>
          <w:top w:w="28" w:type="dxa"/>
          <w:start w:w="28" w:type="dxa"/>
          <w:bottom w:w="28" w:type="dxa"/>
          <w:end w:w="28" w:type="dxa"/>
        </w:tblCellMar>
      </w:tblPr>
      <w:tblGrid>
        <w:gridCol w:w="2043"/>
        <w:gridCol w:w="4076"/>
      </w:tblGrid>
      <w:tr>
        <w:trPr/>
        <w:tc>
          <w:tcPr>
            <w:tcW w:w="2043" w:type="dxa"/>
            <w:tcBorders/>
            <w:vAlign w:val="center"/>
          </w:tcPr>
          <w:p>
            <w:pPr>
              <w:pStyle w:val="TableHeading"/>
              <w:suppressLineNumbers/>
              <w:shd w:fill="0F5D73" w:val="clear"/>
              <w:bidi w:val="0"/>
              <w:spacing w:before="100" w:after="100"/>
              <w:jc w:val="start"/>
              <w:rPr/>
            </w:pPr>
            <w:r>
              <w:rPr/>
              <w:t>Status</w:t>
            </w:r>
          </w:p>
        </w:tc>
        <w:tc>
          <w:tcPr>
            <w:tcW w:w="4076" w:type="dxa"/>
            <w:tcBorders/>
            <w:vAlign w:val="center"/>
          </w:tcPr>
          <w:p>
            <w:pPr>
              <w:pStyle w:val="TableHeading"/>
              <w:suppressLineNumbers/>
              <w:shd w:fill="0F5D73" w:val="clear"/>
              <w:bidi w:val="0"/>
              <w:spacing w:before="100" w:after="100"/>
              <w:jc w:val="start"/>
              <w:rPr/>
            </w:pPr>
            <w:r>
              <w:rPr/>
              <w:t>Meaning</w:t>
            </w:r>
          </w:p>
        </w:tc>
      </w:tr>
      <w:tr>
        <w:trPr/>
        <w:tc>
          <w:tcPr>
            <w:tcW w:w="2043" w:type="dxa"/>
            <w:tcBorders/>
            <w:vAlign w:val="center"/>
          </w:tcPr>
          <w:p>
            <w:pPr>
              <w:pStyle w:val="TableContents"/>
              <w:bidi w:val="0"/>
              <w:spacing w:before="100" w:after="100"/>
              <w:jc w:val="start"/>
              <w:rPr/>
            </w:pPr>
            <w:r>
              <w:rPr/>
              <w:t>Confirmed prototype</w:t>
            </w:r>
          </w:p>
        </w:tc>
        <w:tc>
          <w:tcPr>
            <w:tcW w:w="4076" w:type="dxa"/>
            <w:tcBorders/>
            <w:vAlign w:val="center"/>
          </w:tcPr>
          <w:p>
            <w:pPr>
              <w:pStyle w:val="TableContents"/>
              <w:bidi w:val="0"/>
              <w:spacing w:before="100" w:after="100"/>
              <w:jc w:val="start"/>
              <w:rPr/>
            </w:pPr>
            <w:r>
              <w:rPr/>
              <w:t>Exact part selected for bench and supervised prototype testing.</w:t>
            </w:r>
          </w:p>
        </w:tc>
      </w:tr>
      <w:tr>
        <w:trPr/>
        <w:tc>
          <w:tcPr>
            <w:tcW w:w="2043" w:type="dxa"/>
            <w:tcBorders/>
            <w:vAlign w:val="center"/>
          </w:tcPr>
          <w:p>
            <w:pPr>
              <w:pStyle w:val="TableContents"/>
              <w:bidi w:val="0"/>
              <w:spacing w:before="100" w:after="100"/>
              <w:jc w:val="start"/>
              <w:rPr/>
            </w:pPr>
            <w:r>
              <w:rPr/>
              <w:t>Recommended deployment candidate</w:t>
            </w:r>
          </w:p>
        </w:tc>
        <w:tc>
          <w:tcPr>
            <w:tcW w:w="4076" w:type="dxa"/>
            <w:tcBorders/>
            <w:vAlign w:val="center"/>
          </w:tcPr>
          <w:p>
            <w:pPr>
              <w:pStyle w:val="TableContents"/>
              <w:bidi w:val="0"/>
              <w:spacing w:before="100" w:after="100"/>
              <w:jc w:val="start"/>
              <w:rPr/>
            </w:pPr>
            <w:r>
              <w:rPr/>
              <w:t>Technically preferable for the marine role, but procurement, installation, calibration and field validation remain required.</w:t>
            </w:r>
          </w:p>
        </w:tc>
      </w:tr>
      <w:tr>
        <w:trPr/>
        <w:tc>
          <w:tcPr>
            <w:tcW w:w="2043" w:type="dxa"/>
            <w:tcBorders/>
            <w:vAlign w:val="center"/>
          </w:tcPr>
          <w:p>
            <w:pPr>
              <w:pStyle w:val="TableContents"/>
              <w:bidi w:val="0"/>
              <w:spacing w:before="100" w:after="100"/>
              <w:jc w:val="start"/>
              <w:rPr/>
            </w:pPr>
            <w:r>
              <w:rPr/>
              <w:t>Bench only</w:t>
            </w:r>
          </w:p>
        </w:tc>
        <w:tc>
          <w:tcPr>
            <w:tcW w:w="4076" w:type="dxa"/>
            <w:tcBorders/>
            <w:vAlign w:val="center"/>
          </w:tcPr>
          <w:p>
            <w:pPr>
              <w:pStyle w:val="TableContents"/>
              <w:bidi w:val="0"/>
              <w:spacing w:before="100" w:after="100"/>
              <w:jc w:val="start"/>
              <w:rPr/>
            </w:pPr>
            <w:r>
              <w:rPr/>
              <w:t>Useful for development but must not be presented as a final marine-deployment component.</w:t>
            </w:r>
          </w:p>
        </w:tc>
      </w:tr>
      <w:tr>
        <w:trPr/>
        <w:tc>
          <w:tcPr>
            <w:tcW w:w="2043" w:type="dxa"/>
            <w:tcBorders/>
            <w:vAlign w:val="center"/>
          </w:tcPr>
          <w:p>
            <w:pPr>
              <w:pStyle w:val="TableContents"/>
              <w:bidi w:val="0"/>
              <w:spacing w:before="100" w:after="100"/>
              <w:jc w:val="start"/>
              <w:rPr/>
            </w:pPr>
            <w:r>
              <w:rPr/>
              <w:t>Optional</w:t>
            </w:r>
          </w:p>
        </w:tc>
        <w:tc>
          <w:tcPr>
            <w:tcW w:w="4076" w:type="dxa"/>
            <w:tcBorders/>
            <w:vAlign w:val="center"/>
          </w:tcPr>
          <w:p>
            <w:pPr>
              <w:pStyle w:val="TableContents"/>
              <w:bidi w:val="0"/>
              <w:spacing w:before="100" w:after="100"/>
              <w:jc w:val="start"/>
              <w:rPr/>
            </w:pPr>
            <w:r>
              <w:rPr/>
              <w:t>Not required for the Phase 1 monitoring claim.</w:t>
            </w:r>
          </w:p>
        </w:tc>
      </w:tr>
      <w:tr>
        <w:trPr/>
        <w:tc>
          <w:tcPr>
            <w:tcW w:w="2043" w:type="dxa"/>
            <w:tcBorders/>
            <w:vAlign w:val="center"/>
          </w:tcPr>
          <w:p>
            <w:pPr>
              <w:pStyle w:val="TableContents"/>
              <w:bidi w:val="0"/>
              <w:spacing w:before="100" w:after="100"/>
              <w:jc w:val="start"/>
              <w:rPr/>
            </w:pPr>
            <w:r>
              <w:rPr/>
              <w:t>TBD</w:t>
            </w:r>
          </w:p>
        </w:tc>
        <w:tc>
          <w:tcPr>
            <w:tcW w:w="4076" w:type="dxa"/>
            <w:tcBorders/>
            <w:vAlign w:val="center"/>
          </w:tcPr>
          <w:p>
            <w:pPr>
              <w:pStyle w:val="TableContents"/>
              <w:bidi w:val="0"/>
              <w:spacing w:before="100" w:after="100"/>
              <w:jc w:val="start"/>
              <w:rPr/>
            </w:pPr>
            <w:r>
              <w:rPr/>
              <w:t>No exact product is approved; the item blocks final fabrication release.</w:t>
            </w:r>
          </w:p>
        </w:tc>
      </w:tr>
    </w:tbl>
    <w:p>
      <w:pPr>
        <w:pStyle w:val="Heading2"/>
        <w:bidi w:val="0"/>
        <w:ind w:hanging="0" w:start="0" w:end="0"/>
        <w:jc w:val="start"/>
        <w:rPr/>
      </w:pPr>
      <w:r>
        <w:rPr/>
        <w:t>4. Core environmental sensors</w:t>
      </w:r>
    </w:p>
    <w:tbl>
      <w:tblPr>
        <w:tblW w:w="6119" w:type="dxa"/>
        <w:jc w:val="start"/>
        <w:tblInd w:w="0" w:type="dxa"/>
        <w:tblLayout w:type="fixed"/>
        <w:tblCellMar>
          <w:top w:w="28" w:type="dxa"/>
          <w:start w:w="28" w:type="dxa"/>
          <w:bottom w:w="28" w:type="dxa"/>
          <w:end w:w="28" w:type="dxa"/>
        </w:tblCellMar>
      </w:tblPr>
      <w:tblGrid>
        <w:gridCol w:w="1856"/>
        <w:gridCol w:w="1526"/>
        <w:gridCol w:w="1271"/>
        <w:gridCol w:w="1466"/>
      </w:tblGrid>
      <w:tr>
        <w:trPr/>
        <w:tc>
          <w:tcPr>
            <w:tcW w:w="1856" w:type="dxa"/>
            <w:tcBorders/>
            <w:vAlign w:val="center"/>
          </w:tcPr>
          <w:p>
            <w:pPr>
              <w:pStyle w:val="TableHeading"/>
              <w:suppressLineNumbers/>
              <w:shd w:fill="0F5D73" w:val="clear"/>
              <w:bidi w:val="0"/>
              <w:spacing w:before="100" w:after="100"/>
              <w:jc w:val="start"/>
              <w:rPr/>
            </w:pPr>
            <w:r>
              <w:rPr/>
              <w:t>Function</w:t>
            </w:r>
          </w:p>
        </w:tc>
        <w:tc>
          <w:tcPr>
            <w:tcW w:w="1526" w:type="dxa"/>
            <w:tcBorders/>
            <w:vAlign w:val="center"/>
          </w:tcPr>
          <w:p>
            <w:pPr>
              <w:pStyle w:val="TableHeading"/>
              <w:suppressLineNumbers/>
              <w:shd w:fill="0F5D73" w:val="clear"/>
              <w:bidi w:val="0"/>
              <w:spacing w:before="100" w:after="100"/>
              <w:jc w:val="start"/>
              <w:rPr/>
            </w:pPr>
            <w:r>
              <w:rPr/>
              <w:t>Selected component</w:t>
            </w:r>
          </w:p>
        </w:tc>
        <w:tc>
          <w:tcPr>
            <w:tcW w:w="1271" w:type="dxa"/>
            <w:tcBorders/>
            <w:vAlign w:val="center"/>
          </w:tcPr>
          <w:p>
            <w:pPr>
              <w:pStyle w:val="TableHeading"/>
              <w:suppressLineNumbers/>
              <w:shd w:fill="0F5D73" w:val="clear"/>
              <w:bidi w:val="0"/>
              <w:spacing w:before="100" w:after="100"/>
              <w:jc w:val="start"/>
              <w:rPr/>
            </w:pPr>
            <w:r>
              <w:rPr/>
              <w:t>Interface / key data</w:t>
            </w:r>
          </w:p>
        </w:tc>
        <w:tc>
          <w:tcPr>
            <w:tcW w:w="1466" w:type="dxa"/>
            <w:tcBorders/>
            <w:vAlign w:val="center"/>
          </w:tcPr>
          <w:p>
            <w:pPr>
              <w:pStyle w:val="TableHeading"/>
              <w:suppressLineNumbers/>
              <w:shd w:fill="0F5D73" w:val="clear"/>
              <w:bidi w:val="0"/>
              <w:spacing w:before="100" w:after="100"/>
              <w:jc w:val="start"/>
              <w:rPr/>
            </w:pPr>
            <w:r>
              <w:rPr/>
              <w:t>Placement and validation</w:t>
            </w:r>
          </w:p>
        </w:tc>
      </w:tr>
      <w:tr>
        <w:trPr/>
        <w:tc>
          <w:tcPr>
            <w:tcW w:w="1856" w:type="dxa"/>
            <w:tcBorders/>
            <w:vAlign w:val="center"/>
          </w:tcPr>
          <w:p>
            <w:pPr>
              <w:pStyle w:val="TableContents"/>
              <w:bidi w:val="0"/>
              <w:spacing w:before="100" w:after="100"/>
              <w:jc w:val="start"/>
              <w:rPr/>
            </w:pPr>
            <w:r>
              <w:rPr/>
              <w:t>Pressure and wave-height input</w:t>
            </w:r>
          </w:p>
        </w:tc>
        <w:tc>
          <w:tcPr>
            <w:tcW w:w="1526" w:type="dxa"/>
            <w:tcBorders/>
            <w:vAlign w:val="center"/>
          </w:tcPr>
          <w:p>
            <w:pPr>
              <w:pStyle w:val="TableContents"/>
              <w:bidi w:val="0"/>
              <w:spacing w:before="100" w:after="100"/>
              <w:jc w:val="start"/>
              <w:rPr/>
            </w:pPr>
            <w:r>
              <w:rPr>
                <w:rStyle w:val="Strong"/>
              </w:rPr>
              <w:t>Blue Robotics Bar02 R2, BR-100891</w:t>
            </w:r>
            <w:r>
              <w:rPr/>
              <w:br/>
              <w:t>Confirmed prototype</w:t>
            </w:r>
          </w:p>
        </w:tc>
        <w:tc>
          <w:tcPr>
            <w:tcW w:w="1271" w:type="dxa"/>
            <w:tcBorders/>
            <w:vAlign w:val="center"/>
          </w:tcPr>
          <w:p>
            <w:pPr>
              <w:pStyle w:val="TableContents"/>
              <w:bidi w:val="0"/>
              <w:spacing w:before="100" w:after="100"/>
              <w:jc w:val="start"/>
              <w:rPr/>
            </w:pPr>
            <w:r>
              <w:rPr/>
              <w:t>2.5–5.5 V supply; 2.5–3.6 V I2C logic. Verify address on the purchased unit.</w:t>
            </w:r>
          </w:p>
        </w:tc>
        <w:tc>
          <w:tcPr>
            <w:tcW w:w="1466" w:type="dxa"/>
            <w:tcBorders/>
            <w:vAlign w:val="center"/>
          </w:tcPr>
          <w:p>
            <w:pPr>
              <w:pStyle w:val="TableContents"/>
              <w:bidi w:val="0"/>
              <w:spacing w:before="100" w:after="100"/>
              <w:jc w:val="start"/>
              <w:rPr/>
            </w:pPr>
            <w:r>
              <w:rPr/>
              <w:t>Protected port at a documented submerged depth with no trapped air. Compare at known depths and record baseline, temperature and installation offset.</w:t>
            </w:r>
          </w:p>
        </w:tc>
      </w:tr>
      <w:tr>
        <w:trPr/>
        <w:tc>
          <w:tcPr>
            <w:tcW w:w="1856" w:type="dxa"/>
            <w:tcBorders/>
            <w:vAlign w:val="center"/>
          </w:tcPr>
          <w:p>
            <w:pPr>
              <w:pStyle w:val="TableContents"/>
              <w:bidi w:val="0"/>
              <w:spacing w:before="100" w:after="100"/>
              <w:jc w:val="start"/>
              <w:rPr/>
            </w:pPr>
            <w:r>
              <w:rPr/>
              <w:t>Position and geofence</w:t>
            </w:r>
          </w:p>
        </w:tc>
        <w:tc>
          <w:tcPr>
            <w:tcW w:w="1526" w:type="dxa"/>
            <w:tcBorders/>
            <w:vAlign w:val="center"/>
          </w:tcPr>
          <w:p>
            <w:pPr>
              <w:pStyle w:val="TableContents"/>
              <w:bidi w:val="0"/>
              <w:spacing w:before="100" w:after="100"/>
              <w:jc w:val="start"/>
              <w:rPr/>
            </w:pPr>
            <w:r>
              <w:rPr>
                <w:rStyle w:val="Strong"/>
              </w:rPr>
              <w:t>Adafruit Ultimate GPS, PID 746</w:t>
            </w:r>
            <w:r>
              <w:rPr/>
              <w:br/>
              <w:t>Confirmed prototype</w:t>
            </w:r>
          </w:p>
        </w:tc>
        <w:tc>
          <w:tcPr>
            <w:tcW w:w="1271" w:type="dxa"/>
            <w:tcBorders/>
            <w:vAlign w:val="center"/>
          </w:tcPr>
          <w:p>
            <w:pPr>
              <w:pStyle w:val="TableContents"/>
              <w:bidi w:val="0"/>
              <w:spacing w:before="100" w:after="100"/>
              <w:jc w:val="start"/>
              <w:rPr/>
            </w:pPr>
            <w:r>
              <w:rPr/>
              <w:t>3.0–5.5 V board input; UART NMEA at 9600 baud default; 1–10 Hz. Use ~3 m nominal accuracy until site tests.</w:t>
            </w:r>
          </w:p>
        </w:tc>
        <w:tc>
          <w:tcPr>
            <w:tcW w:w="1466" w:type="dxa"/>
            <w:tcBorders/>
            <w:vAlign w:val="center"/>
          </w:tcPr>
          <w:p>
            <w:pPr>
              <w:pStyle w:val="TableContents"/>
              <w:bidi w:val="0"/>
              <w:spacing w:before="100" w:after="100"/>
              <w:jc w:val="start"/>
              <w:rPr/>
            </w:pPr>
            <w:r>
              <w:rPr/>
              <w:t>Clear sky view in upper assembly. Test cold/warm starts and stationary scatter. Geofence radius must exceed observed scatter.</w:t>
            </w:r>
          </w:p>
        </w:tc>
      </w:tr>
      <w:tr>
        <w:trPr/>
        <w:tc>
          <w:tcPr>
            <w:tcW w:w="1856" w:type="dxa"/>
            <w:tcBorders/>
            <w:vAlign w:val="center"/>
          </w:tcPr>
          <w:p>
            <w:pPr>
              <w:pStyle w:val="TableContents"/>
              <w:bidi w:val="0"/>
              <w:spacing w:before="100" w:after="100"/>
              <w:jc w:val="start"/>
              <w:rPr/>
            </w:pPr>
            <w:r>
              <w:rPr/>
              <w:t>Wind speed and direction</w:t>
            </w:r>
          </w:p>
        </w:tc>
        <w:tc>
          <w:tcPr>
            <w:tcW w:w="1526" w:type="dxa"/>
            <w:tcBorders/>
            <w:vAlign w:val="center"/>
          </w:tcPr>
          <w:p>
            <w:pPr>
              <w:pStyle w:val="TableContents"/>
              <w:bidi w:val="0"/>
              <w:spacing w:before="100" w:after="100"/>
              <w:jc w:val="start"/>
              <w:rPr/>
            </w:pPr>
            <w:r>
              <w:rPr>
                <w:rStyle w:val="Strong"/>
              </w:rPr>
              <w:t>SparkFun Weather Meter, SEN-15901</w:t>
            </w:r>
            <w:r>
              <w:rPr/>
              <w:br/>
              <w:t>Confirmed prototype</w:t>
            </w:r>
          </w:p>
        </w:tc>
        <w:tc>
          <w:tcPr>
            <w:tcW w:w="1271" w:type="dxa"/>
            <w:tcBorders/>
            <w:vAlign w:val="center"/>
          </w:tcPr>
          <w:p>
            <w:pPr>
              <w:pStyle w:val="TableContents"/>
              <w:bidi w:val="0"/>
              <w:spacing w:before="100" w:after="100"/>
              <w:jc w:val="start"/>
              <w:rPr/>
            </w:pPr>
            <w:r>
              <w:rPr/>
              <w:t>Reed pulse for speed; resistor-network vane through protected 3.3 V ADC. 1 pulse/s corresponds to 1.492 mph.</w:t>
            </w:r>
          </w:p>
        </w:tc>
        <w:tc>
          <w:tcPr>
            <w:tcW w:w="1466" w:type="dxa"/>
            <w:tcBorders/>
            <w:vAlign w:val="center"/>
          </w:tcPr>
          <w:p>
            <w:pPr>
              <w:pStyle w:val="TableContents"/>
              <w:bidi w:val="0"/>
              <w:spacing w:before="100" w:after="100"/>
              <w:jc w:val="start"/>
              <w:rPr/>
            </w:pPr>
            <w:r>
              <w:rPr/>
              <w:t>Unobstructed mast position, aligned to north. Compare with reference instruments and inspect corrosion, contacts and bearings after salt exposure.</w:t>
            </w:r>
          </w:p>
        </w:tc>
      </w:tr>
      <w:tr>
        <w:trPr/>
        <w:tc>
          <w:tcPr>
            <w:tcW w:w="1856" w:type="dxa"/>
            <w:tcBorders/>
            <w:vAlign w:val="center"/>
          </w:tcPr>
          <w:p>
            <w:pPr>
              <w:pStyle w:val="TableContents"/>
              <w:bidi w:val="0"/>
              <w:spacing w:before="100" w:after="100"/>
              <w:jc w:val="start"/>
              <w:rPr/>
            </w:pPr>
            <w:r>
              <w:rPr/>
              <w:t>Water temperature</w:t>
            </w:r>
          </w:p>
        </w:tc>
        <w:tc>
          <w:tcPr>
            <w:tcW w:w="1526" w:type="dxa"/>
            <w:tcBorders/>
            <w:vAlign w:val="center"/>
          </w:tcPr>
          <w:p>
            <w:pPr>
              <w:pStyle w:val="TableContents"/>
              <w:bidi w:val="0"/>
              <w:spacing w:before="100" w:after="100"/>
              <w:jc w:val="start"/>
              <w:rPr/>
            </w:pPr>
            <w:r>
              <w:rPr>
                <w:rStyle w:val="Strong"/>
              </w:rPr>
              <w:t>Blue Robotics Celsius R2, BR-100317</w:t>
            </w:r>
            <w:r>
              <w:rPr/>
              <w:br/>
              <w:t>Recommended deployment candidate</w:t>
            </w:r>
          </w:p>
        </w:tc>
        <w:tc>
          <w:tcPr>
            <w:tcW w:w="1271" w:type="dxa"/>
            <w:tcBorders/>
            <w:vAlign w:val="center"/>
          </w:tcPr>
          <w:p>
            <w:pPr>
              <w:pStyle w:val="TableContents"/>
              <w:bidi w:val="0"/>
              <w:spacing w:before="100" w:after="100"/>
              <w:jc w:val="start"/>
              <w:rPr/>
            </w:pPr>
            <w:r>
              <w:rPr/>
              <w:t>I2C; manufacturer states ±0.1 °C. Verify voltage, address and harness before PCB freeze.</w:t>
            </w:r>
          </w:p>
        </w:tc>
        <w:tc>
          <w:tcPr>
            <w:tcW w:w="1466" w:type="dxa"/>
            <w:tcBorders/>
            <w:vAlign w:val="center"/>
          </w:tcPr>
          <w:p>
            <w:pPr>
              <w:pStyle w:val="TableContents"/>
              <w:bidi w:val="0"/>
              <w:spacing w:before="100" w:after="100"/>
              <w:jc w:val="start"/>
              <w:rPr/>
            </w:pPr>
            <w:r>
              <w:rPr/>
              <w:t>Correct sealed bulkhead installation; rear electronics remain dry. Perform three-point bath comparison and leak test.</w:t>
            </w:r>
          </w:p>
        </w:tc>
      </w:tr>
      <w:tr>
        <w:trPr/>
        <w:tc>
          <w:tcPr>
            <w:tcW w:w="1856" w:type="dxa"/>
            <w:tcBorders/>
            <w:vAlign w:val="center"/>
          </w:tcPr>
          <w:p>
            <w:pPr>
              <w:pStyle w:val="TableContents"/>
              <w:bidi w:val="0"/>
              <w:spacing w:before="100" w:after="100"/>
              <w:jc w:val="start"/>
              <w:rPr/>
            </w:pPr>
            <w:r>
              <w:rPr/>
              <w:t>Water-temperature alternative</w:t>
            </w:r>
          </w:p>
        </w:tc>
        <w:tc>
          <w:tcPr>
            <w:tcW w:w="1526" w:type="dxa"/>
            <w:tcBorders/>
            <w:vAlign w:val="center"/>
          </w:tcPr>
          <w:p>
            <w:pPr>
              <w:pStyle w:val="TableContents"/>
              <w:bidi w:val="0"/>
              <w:spacing w:before="100" w:after="100"/>
              <w:jc w:val="start"/>
              <w:rPr/>
            </w:pPr>
            <w:r>
              <w:rPr>
                <w:rStyle w:val="Strong"/>
              </w:rPr>
              <w:t>Adafruit waterproof DS18B20, PID 381</w:t>
            </w:r>
            <w:r>
              <w:rPr/>
              <w:br/>
              <w:t>Bench only</w:t>
            </w:r>
          </w:p>
        </w:tc>
        <w:tc>
          <w:tcPr>
            <w:tcW w:w="1271" w:type="dxa"/>
            <w:tcBorders/>
            <w:vAlign w:val="center"/>
          </w:tcPr>
          <w:p>
            <w:pPr>
              <w:pStyle w:val="TableContents"/>
              <w:bidi w:val="0"/>
              <w:spacing w:before="100" w:after="100"/>
              <w:jc w:val="start"/>
              <w:rPr/>
            </w:pPr>
            <w:r>
              <w:rPr/>
              <w:t>3.0–5.5 V, 1-Wire, 4.7 kΩ pull-up; ±0.5 °C from −10 to 85 °C.</w:t>
            </w:r>
          </w:p>
        </w:tc>
        <w:tc>
          <w:tcPr>
            <w:tcW w:w="1466" w:type="dxa"/>
            <w:tcBorders/>
            <w:vAlign w:val="center"/>
          </w:tcPr>
          <w:p>
            <w:pPr>
              <w:pStyle w:val="TableContents"/>
              <w:bidi w:val="0"/>
              <w:spacing w:before="100" w:after="100"/>
              <w:jc w:val="start"/>
              <w:rPr/>
            </w:pPr>
            <w:r>
              <w:rPr/>
              <w:t>Short supervised testing only. The manufacturer excludes salt water, corrosive environments, long-term use and high pressure.</w:t>
            </w:r>
          </w:p>
        </w:tc>
      </w:tr>
    </w:tbl>
    <w:tbl>
      <w:tblPr>
        <w:tblW w:w="6119" w:type="dxa"/>
        <w:jc w:val="start"/>
        <w:tblInd w:w="0" w:type="dxa"/>
        <w:tblLayout w:type="fixed"/>
        <w:tblCellMar>
          <w:top w:w="28" w:type="dxa"/>
          <w:start w:w="28" w:type="dxa"/>
          <w:bottom w:w="28" w:type="dxa"/>
          <w:end w:w="28" w:type="dxa"/>
        </w:tblCellMar>
      </w:tblPr>
      <w:tblGrid>
        <w:gridCol w:w="6119"/>
      </w:tblGrid>
      <w:tr>
        <w:trPr/>
        <w:tc>
          <w:tcPr>
            <w:tcW w:w="6119" w:type="dxa"/>
            <w:tcBorders/>
            <w:shd w:fill="FFF7ED" w:val="clear"/>
            <w:vAlign w:val="center"/>
          </w:tcPr>
          <w:p>
            <w:pPr>
              <w:pStyle w:val="TableContents"/>
              <w:bidi w:val="0"/>
              <w:spacing w:before="100" w:after="100"/>
              <w:ind w:hanging="0" w:start="0" w:end="0"/>
              <w:jc w:val="start"/>
              <w:rPr/>
            </w:pPr>
            <w:r>
              <w:rPr>
                <w:rStyle w:val="Strong"/>
              </w:rPr>
              <w:t>Pressure-sensor deployment limitation:</w:t>
            </w:r>
            <w:r>
              <w:rPr/>
              <w:t xml:space="preserve"> the Bar02 sensing face is waterproof, but its rear is not. The manufacturer also requires the gel element to dry for at least two hours each day. Continuous long-duration deployment therefore needs a documented service plan or a differently qualified pressure sensor.</w:t>
            </w:r>
          </w:p>
        </w:tc>
      </w:tr>
    </w:tbl>
    <w:p>
      <w:pPr>
        <w:pStyle w:val="Heading2"/>
        <w:bidi w:val="0"/>
        <w:jc w:val="start"/>
        <w:rPr/>
      </w:pPr>
      <w:r>
        <w:rPr/>
        <w:t>5. Health and security sensing</w:t>
      </w:r>
    </w:p>
    <w:tbl>
      <w:tblPr>
        <w:tblW w:w="6119" w:type="dxa"/>
        <w:jc w:val="start"/>
        <w:tblInd w:w="0" w:type="dxa"/>
        <w:tblLayout w:type="fixed"/>
        <w:tblCellMar>
          <w:top w:w="28" w:type="dxa"/>
          <w:start w:w="28" w:type="dxa"/>
          <w:bottom w:w="28" w:type="dxa"/>
          <w:end w:w="28" w:type="dxa"/>
        </w:tblCellMar>
      </w:tblPr>
      <w:tblGrid>
        <w:gridCol w:w="1595"/>
        <w:gridCol w:w="1554"/>
        <w:gridCol w:w="1259"/>
        <w:gridCol w:w="1711"/>
      </w:tblGrid>
      <w:tr>
        <w:trPr/>
        <w:tc>
          <w:tcPr>
            <w:tcW w:w="1595" w:type="dxa"/>
            <w:tcBorders/>
            <w:vAlign w:val="center"/>
          </w:tcPr>
          <w:p>
            <w:pPr>
              <w:pStyle w:val="TableHeading"/>
              <w:suppressLineNumbers/>
              <w:shd w:fill="0F5D73" w:val="clear"/>
              <w:bidi w:val="0"/>
              <w:spacing w:before="100" w:after="100"/>
              <w:jc w:val="start"/>
              <w:rPr/>
            </w:pPr>
            <w:r>
              <w:rPr/>
              <w:t>Function</w:t>
            </w:r>
          </w:p>
        </w:tc>
        <w:tc>
          <w:tcPr>
            <w:tcW w:w="1554" w:type="dxa"/>
            <w:tcBorders/>
            <w:vAlign w:val="center"/>
          </w:tcPr>
          <w:p>
            <w:pPr>
              <w:pStyle w:val="TableHeading"/>
              <w:suppressLineNumbers/>
              <w:shd w:fill="0F5D73" w:val="clear"/>
              <w:bidi w:val="0"/>
              <w:spacing w:before="100" w:after="100"/>
              <w:jc w:val="start"/>
              <w:rPr/>
            </w:pPr>
            <w:r>
              <w:rPr/>
              <w:t>Selected component</w:t>
            </w:r>
          </w:p>
        </w:tc>
        <w:tc>
          <w:tcPr>
            <w:tcW w:w="1259" w:type="dxa"/>
            <w:tcBorders/>
            <w:vAlign w:val="center"/>
          </w:tcPr>
          <w:p>
            <w:pPr>
              <w:pStyle w:val="TableHeading"/>
              <w:suppressLineNumbers/>
              <w:shd w:fill="0F5D73" w:val="clear"/>
              <w:bidi w:val="0"/>
              <w:spacing w:before="100" w:after="100"/>
              <w:jc w:val="start"/>
              <w:rPr/>
            </w:pPr>
            <w:r>
              <w:rPr/>
              <w:t>Interface / key data</w:t>
            </w:r>
          </w:p>
        </w:tc>
        <w:tc>
          <w:tcPr>
            <w:tcW w:w="1711" w:type="dxa"/>
            <w:tcBorders/>
            <w:vAlign w:val="center"/>
          </w:tcPr>
          <w:p>
            <w:pPr>
              <w:pStyle w:val="TableHeading"/>
              <w:suppressLineNumbers/>
              <w:shd w:fill="0F5D73" w:val="clear"/>
              <w:bidi w:val="0"/>
              <w:spacing w:before="100" w:after="100"/>
              <w:jc w:val="start"/>
              <w:rPr/>
            </w:pPr>
            <w:r>
              <w:rPr/>
              <w:t>Placement and validation</w:t>
            </w:r>
          </w:p>
        </w:tc>
      </w:tr>
      <w:tr>
        <w:trPr/>
        <w:tc>
          <w:tcPr>
            <w:tcW w:w="1595" w:type="dxa"/>
            <w:tcBorders/>
            <w:vAlign w:val="center"/>
          </w:tcPr>
          <w:p>
            <w:pPr>
              <w:pStyle w:val="TableContents"/>
              <w:bidi w:val="0"/>
              <w:spacing w:before="100" w:after="100"/>
              <w:jc w:val="start"/>
              <w:rPr/>
            </w:pPr>
            <w:r>
              <w:rPr/>
              <w:t>Battery monitor</w:t>
            </w:r>
          </w:p>
        </w:tc>
        <w:tc>
          <w:tcPr>
            <w:tcW w:w="1554" w:type="dxa"/>
            <w:tcBorders/>
            <w:vAlign w:val="center"/>
          </w:tcPr>
          <w:p>
            <w:pPr>
              <w:pStyle w:val="TableContents"/>
              <w:bidi w:val="0"/>
              <w:spacing w:before="100" w:after="100"/>
              <w:jc w:val="start"/>
              <w:rPr/>
            </w:pPr>
            <w:r>
              <w:rPr>
                <w:rStyle w:val="Strong"/>
              </w:rPr>
              <w:t>Adafruit INA260, PID 4226</w:t>
            </w:r>
            <w:r>
              <w:rPr/>
              <w:br/>
              <w:t>Confirmed prototype</w:t>
            </w:r>
          </w:p>
        </w:tc>
        <w:tc>
          <w:tcPr>
            <w:tcW w:w="1259" w:type="dxa"/>
            <w:tcBorders/>
            <w:vAlign w:val="center"/>
          </w:tcPr>
          <w:p>
            <w:pPr>
              <w:pStyle w:val="TableContents"/>
              <w:bidi w:val="0"/>
              <w:spacing w:before="100" w:after="100"/>
              <w:jc w:val="start"/>
              <w:rPr/>
            </w:pPr>
            <w:r>
              <w:rPr/>
              <w:t>I2C `0x40`; up to 36 V bus and 15 A continuous on breakout; integrated 2 mΩ shunt.</w:t>
            </w:r>
          </w:p>
        </w:tc>
        <w:tc>
          <w:tcPr>
            <w:tcW w:w="1711" w:type="dxa"/>
            <w:tcBorders/>
            <w:vAlign w:val="center"/>
          </w:tcPr>
          <w:p>
            <w:pPr>
              <w:pStyle w:val="TableContents"/>
              <w:bidi w:val="0"/>
              <w:spacing w:before="100" w:after="100"/>
              <w:jc w:val="start"/>
              <w:rPr/>
            </w:pPr>
            <w:r>
              <w:rPr/>
              <w:t>Protected battery branch. Compare voltage/current with calibrated DMM and load at three operating points; inspect connector heating.</w:t>
            </w:r>
          </w:p>
        </w:tc>
      </w:tr>
      <w:tr>
        <w:trPr/>
        <w:tc>
          <w:tcPr>
            <w:tcW w:w="1595" w:type="dxa"/>
            <w:tcBorders/>
            <w:vAlign w:val="center"/>
          </w:tcPr>
          <w:p>
            <w:pPr>
              <w:pStyle w:val="TableContents"/>
              <w:bidi w:val="0"/>
              <w:spacing w:before="100" w:after="100"/>
              <w:jc w:val="start"/>
              <w:rPr/>
            </w:pPr>
            <w:r>
              <w:rPr/>
              <w:t>Solar monitor</w:t>
            </w:r>
          </w:p>
        </w:tc>
        <w:tc>
          <w:tcPr>
            <w:tcW w:w="1554" w:type="dxa"/>
            <w:tcBorders/>
            <w:vAlign w:val="center"/>
          </w:tcPr>
          <w:p>
            <w:pPr>
              <w:pStyle w:val="TableContents"/>
              <w:bidi w:val="0"/>
              <w:spacing w:before="100" w:after="100"/>
              <w:jc w:val="start"/>
              <w:rPr/>
            </w:pPr>
            <w:r>
              <w:rPr>
                <w:rStyle w:val="Strong"/>
              </w:rPr>
              <w:t>Adafruit INA260, PID 4226</w:t>
            </w:r>
            <w:r>
              <w:rPr/>
              <w:br/>
              <w:t>Confirmed prototype</w:t>
            </w:r>
          </w:p>
        </w:tc>
        <w:tc>
          <w:tcPr>
            <w:tcW w:w="1259" w:type="dxa"/>
            <w:tcBorders/>
            <w:vAlign w:val="center"/>
          </w:tcPr>
          <w:p>
            <w:pPr>
              <w:pStyle w:val="TableContents"/>
              <w:bidi w:val="0"/>
              <w:spacing w:before="100" w:after="100"/>
              <w:jc w:val="start"/>
              <w:rPr/>
            </w:pPr>
            <w:r>
              <w:rPr/>
              <w:t>I2C `0x41`; same limits as battery monitor.</w:t>
            </w:r>
          </w:p>
        </w:tc>
        <w:tc>
          <w:tcPr>
            <w:tcW w:w="1711" w:type="dxa"/>
            <w:tcBorders/>
            <w:vAlign w:val="center"/>
          </w:tcPr>
          <w:p>
            <w:pPr>
              <w:pStyle w:val="TableContents"/>
              <w:bidi w:val="0"/>
              <w:spacing w:before="100" w:after="100"/>
              <w:jc w:val="start"/>
              <w:rPr/>
            </w:pPr>
            <w:r>
              <w:rPr/>
              <w:t>Document measurement point and current direction. Validate during low, normal and high charge conditions.</w:t>
            </w:r>
          </w:p>
        </w:tc>
      </w:tr>
      <w:tr>
        <w:trPr/>
        <w:tc>
          <w:tcPr>
            <w:tcW w:w="1595" w:type="dxa"/>
            <w:tcBorders/>
            <w:vAlign w:val="center"/>
          </w:tcPr>
          <w:p>
            <w:pPr>
              <w:pStyle w:val="TableContents"/>
              <w:bidi w:val="0"/>
              <w:spacing w:before="100" w:after="100"/>
              <w:jc w:val="start"/>
              <w:rPr/>
            </w:pPr>
            <w:r>
              <w:rPr/>
              <w:t>Enclosure temperature</w:t>
            </w:r>
          </w:p>
        </w:tc>
        <w:tc>
          <w:tcPr>
            <w:tcW w:w="1554" w:type="dxa"/>
            <w:tcBorders/>
            <w:vAlign w:val="center"/>
          </w:tcPr>
          <w:p>
            <w:pPr>
              <w:pStyle w:val="TableContents"/>
              <w:bidi w:val="0"/>
              <w:spacing w:before="100" w:after="100"/>
              <w:jc w:val="start"/>
              <w:rPr/>
            </w:pPr>
            <w:r>
              <w:rPr>
                <w:rStyle w:val="Strong"/>
              </w:rPr>
              <w:t>Adafruit MCP9808, PID 1782</w:t>
            </w:r>
            <w:r>
              <w:rPr/>
              <w:br/>
              <w:t>Recommended selection</w:t>
            </w:r>
          </w:p>
        </w:tc>
        <w:tc>
          <w:tcPr>
            <w:tcW w:w="1259" w:type="dxa"/>
            <w:tcBorders/>
            <w:vAlign w:val="center"/>
          </w:tcPr>
          <w:p>
            <w:pPr>
              <w:pStyle w:val="TableContents"/>
              <w:bidi w:val="0"/>
              <w:spacing w:before="100" w:after="100"/>
              <w:jc w:val="start"/>
              <w:rPr/>
            </w:pPr>
            <w:r>
              <w:rPr/>
              <w:t>I2C `0x18`; 2.7–5.5 V; typical ±0.25 °C.</w:t>
            </w:r>
          </w:p>
        </w:tc>
        <w:tc>
          <w:tcPr>
            <w:tcW w:w="1711" w:type="dxa"/>
            <w:tcBorders/>
            <w:vAlign w:val="center"/>
          </w:tcPr>
          <w:p>
            <w:pPr>
              <w:pStyle w:val="TableContents"/>
              <w:bidi w:val="0"/>
              <w:spacing w:before="100" w:after="100"/>
              <w:jc w:val="start"/>
              <w:rPr/>
            </w:pPr>
            <w:r>
              <w:rPr/>
              <w:t>Representative enclosure air, away from modem/converters/heatsinks. Compare after thermal stabilization.</w:t>
            </w:r>
          </w:p>
        </w:tc>
      </w:tr>
      <w:tr>
        <w:trPr/>
        <w:tc>
          <w:tcPr>
            <w:tcW w:w="1595" w:type="dxa"/>
            <w:tcBorders/>
            <w:vAlign w:val="center"/>
          </w:tcPr>
          <w:p>
            <w:pPr>
              <w:pStyle w:val="TableContents"/>
              <w:bidi w:val="0"/>
              <w:spacing w:before="100" w:after="100"/>
              <w:jc w:val="start"/>
              <w:rPr/>
            </w:pPr>
            <w:r>
              <w:rPr/>
              <w:t>Enclosure-open state</w:t>
            </w:r>
          </w:p>
        </w:tc>
        <w:tc>
          <w:tcPr>
            <w:tcW w:w="1554" w:type="dxa"/>
            <w:tcBorders/>
            <w:vAlign w:val="center"/>
          </w:tcPr>
          <w:p>
            <w:pPr>
              <w:pStyle w:val="TableContents"/>
              <w:bidi w:val="0"/>
              <w:spacing w:before="100" w:after="100"/>
              <w:jc w:val="start"/>
              <w:rPr/>
            </w:pPr>
            <w:r>
              <w:rPr>
                <w:rStyle w:val="Strong"/>
              </w:rPr>
              <w:t>Adafruit magnetic contact, PID 375</w:t>
            </w:r>
            <w:r>
              <w:rPr/>
              <w:br/>
              <w:t>Recommended prototype selection</w:t>
            </w:r>
          </w:p>
        </w:tc>
        <w:tc>
          <w:tcPr>
            <w:tcW w:w="1259" w:type="dxa"/>
            <w:tcBorders/>
            <w:vAlign w:val="center"/>
          </w:tcPr>
          <w:p>
            <w:pPr>
              <w:pStyle w:val="TableContents"/>
              <w:bidi w:val="0"/>
              <w:spacing w:before="100" w:after="100"/>
              <w:jc w:val="start"/>
              <w:rPr/>
            </w:pPr>
            <w:r>
              <w:rPr/>
              <w:t>Normally open contact; filtered/debounced GPIO; fail-safe wiring preferred.</w:t>
            </w:r>
          </w:p>
        </w:tc>
        <w:tc>
          <w:tcPr>
            <w:tcW w:w="1711" w:type="dxa"/>
            <w:tcBorders/>
            <w:vAlign w:val="center"/>
          </w:tcPr>
          <w:p>
            <w:pPr>
              <w:pStyle w:val="TableContents"/>
              <w:bidi w:val="0"/>
              <w:spacing w:before="100" w:after="100"/>
              <w:jc w:val="start"/>
              <w:rPr/>
            </w:pPr>
            <w:r>
              <w:rPr/>
              <w:t>Inside dry enclosure or sealed interface. Validate alignment, cable faults, vibration and false alarms.</w:t>
            </w:r>
          </w:p>
        </w:tc>
      </w:tr>
      <w:tr>
        <w:trPr/>
        <w:tc>
          <w:tcPr>
            <w:tcW w:w="1595" w:type="dxa"/>
            <w:tcBorders/>
            <w:vAlign w:val="center"/>
          </w:tcPr>
          <w:p>
            <w:pPr>
              <w:pStyle w:val="TableContents"/>
              <w:bidi w:val="0"/>
              <w:spacing w:before="100" w:after="100"/>
              <w:jc w:val="start"/>
              <w:rPr/>
            </w:pPr>
            <w:r>
              <w:rPr/>
              <w:t>Tamper aid</w:t>
            </w:r>
          </w:p>
        </w:tc>
        <w:tc>
          <w:tcPr>
            <w:tcW w:w="1554" w:type="dxa"/>
            <w:tcBorders/>
            <w:vAlign w:val="center"/>
          </w:tcPr>
          <w:p>
            <w:pPr>
              <w:pStyle w:val="TableContents"/>
              <w:bidi w:val="0"/>
              <w:spacing w:before="100" w:after="100"/>
              <w:jc w:val="start"/>
              <w:rPr/>
            </w:pPr>
            <w:r>
              <w:rPr>
                <w:rStyle w:val="Strong"/>
              </w:rPr>
              <w:t>Adafruit LIS3DH, PID 2809</w:t>
            </w:r>
            <w:r>
              <w:rPr/>
              <w:br/>
              <w:t>Optional security candidate</w:t>
            </w:r>
          </w:p>
        </w:tc>
        <w:tc>
          <w:tcPr>
            <w:tcW w:w="1259" w:type="dxa"/>
            <w:tcBorders/>
            <w:vAlign w:val="center"/>
          </w:tcPr>
          <w:p>
            <w:pPr>
              <w:pStyle w:val="TableContents"/>
              <w:bidi w:val="0"/>
              <w:spacing w:before="100" w:after="100"/>
              <w:jc w:val="start"/>
              <w:rPr/>
            </w:pPr>
            <w:r>
              <w:rPr/>
              <w:t>I2C at `0x19` or SPI; ±2/4/8/16 g.</w:t>
            </w:r>
          </w:p>
        </w:tc>
        <w:tc>
          <w:tcPr>
            <w:tcW w:w="1711" w:type="dxa"/>
            <w:tcBorders/>
            <w:vAlign w:val="center"/>
          </w:tcPr>
          <w:p>
            <w:pPr>
              <w:pStyle w:val="TableContents"/>
              <w:bidi w:val="0"/>
              <w:spacing w:before="100" w:after="100"/>
              <w:jc w:val="start"/>
              <w:rPr/>
            </w:pPr>
            <w:r>
              <w:rPr/>
              <w:t>Rigid tray mount. Not a wave sensor. Thresholds require supervised normal-wave and tamper tests.</w:t>
            </w:r>
          </w:p>
        </w:tc>
      </w:tr>
      <w:tr>
        <w:trPr/>
        <w:tc>
          <w:tcPr>
            <w:tcW w:w="1595" w:type="dxa"/>
            <w:tcBorders/>
            <w:vAlign w:val="center"/>
          </w:tcPr>
          <w:p>
            <w:pPr>
              <w:pStyle w:val="TableContents"/>
              <w:bidi w:val="0"/>
              <w:spacing w:before="100" w:after="100"/>
              <w:jc w:val="start"/>
              <w:rPr/>
            </w:pPr>
            <w:r>
              <w:rPr/>
              <w:t>Audible alarm</w:t>
            </w:r>
          </w:p>
        </w:tc>
        <w:tc>
          <w:tcPr>
            <w:tcW w:w="1554" w:type="dxa"/>
            <w:tcBorders/>
            <w:vAlign w:val="center"/>
          </w:tcPr>
          <w:p>
            <w:pPr>
              <w:pStyle w:val="TableContents"/>
              <w:bidi w:val="0"/>
              <w:spacing w:before="100" w:after="100"/>
              <w:jc w:val="start"/>
              <w:rPr/>
            </w:pPr>
            <w:r>
              <w:rPr>
                <w:rStyle w:val="Strong"/>
              </w:rPr>
              <w:t>Exact buzzer TBD</w:t>
            </w:r>
          </w:p>
        </w:tc>
        <w:tc>
          <w:tcPr>
            <w:tcW w:w="1259" w:type="dxa"/>
            <w:tcBorders/>
            <w:vAlign w:val="center"/>
          </w:tcPr>
          <w:p>
            <w:pPr>
              <w:pStyle w:val="TableContents"/>
              <w:bidi w:val="0"/>
              <w:spacing w:before="100" w:after="100"/>
              <w:jc w:val="start"/>
              <w:rPr/>
            </w:pPr>
            <w:r>
              <w:rPr/>
              <w:t>GPIO through transistor/MOSFET driver; flyback protection if inductive.</w:t>
            </w:r>
          </w:p>
        </w:tc>
        <w:tc>
          <w:tcPr>
            <w:tcW w:w="1711" w:type="dxa"/>
            <w:tcBorders/>
            <w:vAlign w:val="center"/>
          </w:tcPr>
          <w:p>
            <w:pPr>
              <w:pStyle w:val="TableContents"/>
              <w:bidi w:val="0"/>
              <w:spacing w:before="100" w:after="100"/>
              <w:jc w:val="start"/>
              <w:rPr/>
            </w:pPr>
            <w:r>
              <w:rPr/>
              <w:t>Voltage, current, sound level, duty cycle and environmental rating must be selected and tested.</w:t>
            </w:r>
          </w:p>
        </w:tc>
      </w:tr>
    </w:tbl>
    <w:p>
      <w:pPr>
        <w:pStyle w:val="Heading2"/>
        <w:bidi w:val="0"/>
        <w:ind w:hanging="0" w:start="0" w:end="0"/>
        <w:jc w:val="start"/>
        <w:rPr/>
      </w:pPr>
      <w:r>
        <w:rPr/>
        <w:t>6. Communication candidate</w:t>
      </w:r>
    </w:p>
    <w:p>
      <w:pPr>
        <w:pStyle w:val="BodyText"/>
        <w:bidi w:val="0"/>
        <w:jc w:val="start"/>
        <w:rPr/>
      </w:pPr>
      <w:r>
        <w:rPr>
          <w:rStyle w:val="Strong"/>
        </w:rPr>
        <w:t>Waveshare SIM7600G-H 4G HAT</w:t>
      </w:r>
      <w:r>
        <w:rPr/>
        <w:t xml:space="preserve"> is a proposed communication candidate, not a sensor and not yet frozen. It uses a separate regulated 5 V branch and supports USB or level-compatible UART. Approval requires a Philippine carrier-band and site-coverage survey, antenna review, measured registration/transmit peaks, brownout recovery, reconnect behavior, offline buffering, operating-temperature checks and a complete power budget.</w:t>
      </w:r>
    </w:p>
    <w:p>
      <w:pPr>
        <w:pStyle w:val="Heading2"/>
        <w:bidi w:val="0"/>
        <w:jc w:val="start"/>
        <w:rPr/>
      </w:pPr>
      <w:r>
        <w:rPr/>
        <w:t>7. Interface allocation</w:t>
      </w:r>
    </w:p>
    <w:tbl>
      <w:tblPr>
        <w:tblW w:w="6119" w:type="dxa"/>
        <w:jc w:val="start"/>
        <w:tblInd w:w="0" w:type="dxa"/>
        <w:tblLayout w:type="fixed"/>
        <w:tblCellMar>
          <w:top w:w="28" w:type="dxa"/>
          <w:start w:w="28" w:type="dxa"/>
          <w:bottom w:w="28" w:type="dxa"/>
          <w:end w:w="28" w:type="dxa"/>
        </w:tblCellMar>
      </w:tblPr>
      <w:tblGrid>
        <w:gridCol w:w="1040"/>
        <w:gridCol w:w="1331"/>
        <w:gridCol w:w="1684"/>
        <w:gridCol w:w="2064"/>
      </w:tblGrid>
      <w:tr>
        <w:trPr/>
        <w:tc>
          <w:tcPr>
            <w:tcW w:w="1040" w:type="dxa"/>
            <w:tcBorders/>
            <w:vAlign w:val="center"/>
          </w:tcPr>
          <w:p>
            <w:pPr>
              <w:pStyle w:val="TableHeading"/>
              <w:suppressLineNumbers/>
              <w:shd w:fill="0F5D73" w:val="clear"/>
              <w:bidi w:val="0"/>
              <w:spacing w:before="100" w:after="100"/>
              <w:jc w:val="start"/>
              <w:rPr/>
            </w:pPr>
            <w:r>
              <w:rPr/>
              <w:t>Interface</w:t>
            </w:r>
          </w:p>
        </w:tc>
        <w:tc>
          <w:tcPr>
            <w:tcW w:w="1331" w:type="dxa"/>
            <w:tcBorders/>
            <w:vAlign w:val="center"/>
          </w:tcPr>
          <w:p>
            <w:pPr>
              <w:pStyle w:val="TableHeading"/>
              <w:suppressLineNumbers/>
              <w:shd w:fill="0F5D73" w:val="clear"/>
              <w:bidi w:val="0"/>
              <w:spacing w:before="100" w:after="100"/>
              <w:jc w:val="start"/>
              <w:rPr/>
            </w:pPr>
            <w:r>
              <w:rPr/>
              <w:t>Device</w:t>
            </w:r>
          </w:p>
        </w:tc>
        <w:tc>
          <w:tcPr>
            <w:tcW w:w="1684" w:type="dxa"/>
            <w:tcBorders/>
            <w:vAlign w:val="center"/>
          </w:tcPr>
          <w:p>
            <w:pPr>
              <w:pStyle w:val="TableHeading"/>
              <w:suppressLineNumbers/>
              <w:shd w:fill="0F5D73" w:val="clear"/>
              <w:bidi w:val="0"/>
              <w:spacing w:before="100" w:after="100"/>
              <w:jc w:val="start"/>
              <w:rPr/>
            </w:pPr>
            <w:r>
              <w:rPr/>
              <w:t>Allocation</w:t>
            </w:r>
          </w:p>
        </w:tc>
        <w:tc>
          <w:tcPr>
            <w:tcW w:w="2064" w:type="dxa"/>
            <w:tcBorders/>
            <w:vAlign w:val="center"/>
          </w:tcPr>
          <w:p>
            <w:pPr>
              <w:pStyle w:val="TableHeading"/>
              <w:suppressLineNumbers/>
              <w:shd w:fill="0F5D73" w:val="clear"/>
              <w:bidi w:val="0"/>
              <w:spacing w:before="100" w:after="100"/>
              <w:jc w:val="start"/>
              <w:rPr/>
            </w:pPr>
            <w:r>
              <w:rPr/>
              <w:t>Engineering note</w:t>
            </w:r>
          </w:p>
        </w:tc>
      </w:tr>
      <w:tr>
        <w:trPr/>
        <w:tc>
          <w:tcPr>
            <w:tcW w:w="1040" w:type="dxa"/>
            <w:tcBorders/>
            <w:vAlign w:val="center"/>
          </w:tcPr>
          <w:p>
            <w:pPr>
              <w:pStyle w:val="TableContents"/>
              <w:bidi w:val="0"/>
              <w:spacing w:before="100" w:after="100"/>
              <w:jc w:val="start"/>
              <w:rPr/>
            </w:pPr>
            <w:r>
              <w:rPr/>
              <w:t>I2C 3.3 V</w:t>
            </w:r>
          </w:p>
        </w:tc>
        <w:tc>
          <w:tcPr>
            <w:tcW w:w="1331" w:type="dxa"/>
            <w:tcBorders/>
            <w:vAlign w:val="center"/>
          </w:tcPr>
          <w:p>
            <w:pPr>
              <w:pStyle w:val="TableContents"/>
              <w:bidi w:val="0"/>
              <w:spacing w:before="100" w:after="100"/>
              <w:jc w:val="start"/>
              <w:rPr/>
            </w:pPr>
            <w:r>
              <w:rPr/>
              <w:t>Bar02 R2</w:t>
            </w:r>
          </w:p>
        </w:tc>
        <w:tc>
          <w:tcPr>
            <w:tcW w:w="1684" w:type="dxa"/>
            <w:tcBorders/>
            <w:vAlign w:val="center"/>
          </w:tcPr>
          <w:p>
            <w:pPr>
              <w:pStyle w:val="TableContents"/>
              <w:bidi w:val="0"/>
              <w:spacing w:before="100" w:after="100"/>
              <w:jc w:val="start"/>
              <w:rPr/>
            </w:pPr>
            <w:r>
              <w:rPr/>
              <w:t>Expected `0x76`; verify</w:t>
            </w:r>
          </w:p>
        </w:tc>
        <w:tc>
          <w:tcPr>
            <w:tcW w:w="2064" w:type="dxa"/>
            <w:tcBorders/>
            <w:vAlign w:val="center"/>
          </w:tcPr>
          <w:p>
            <w:pPr>
              <w:pStyle w:val="TableContents"/>
              <w:bidi w:val="0"/>
              <w:spacing w:before="100" w:after="100"/>
              <w:jc w:val="start"/>
              <w:rPr/>
            </w:pPr>
            <w:r>
              <w:rPr/>
              <w:t>Run an I2C scan on purchased hardware.</w:t>
            </w:r>
          </w:p>
        </w:tc>
      </w:tr>
      <w:tr>
        <w:trPr/>
        <w:tc>
          <w:tcPr>
            <w:tcW w:w="1040" w:type="dxa"/>
            <w:tcBorders/>
            <w:vAlign w:val="center"/>
          </w:tcPr>
          <w:p>
            <w:pPr>
              <w:pStyle w:val="TableContents"/>
              <w:bidi w:val="0"/>
              <w:spacing w:before="100" w:after="100"/>
              <w:jc w:val="start"/>
              <w:rPr/>
            </w:pPr>
            <w:r>
              <w:rPr/>
              <w:t>I2C 3.3 V</w:t>
            </w:r>
          </w:p>
        </w:tc>
        <w:tc>
          <w:tcPr>
            <w:tcW w:w="1331" w:type="dxa"/>
            <w:tcBorders/>
            <w:vAlign w:val="center"/>
          </w:tcPr>
          <w:p>
            <w:pPr>
              <w:pStyle w:val="TableContents"/>
              <w:bidi w:val="0"/>
              <w:spacing w:before="100" w:after="100"/>
              <w:jc w:val="start"/>
              <w:rPr/>
            </w:pPr>
            <w:r>
              <w:rPr/>
              <w:t>INA260 battery / solar</w:t>
            </w:r>
          </w:p>
        </w:tc>
        <w:tc>
          <w:tcPr>
            <w:tcW w:w="1684" w:type="dxa"/>
            <w:tcBorders/>
            <w:vAlign w:val="center"/>
          </w:tcPr>
          <w:p>
            <w:pPr>
              <w:pStyle w:val="TableContents"/>
              <w:bidi w:val="0"/>
              <w:spacing w:before="100" w:after="100"/>
              <w:jc w:val="start"/>
              <w:rPr/>
            </w:pPr>
            <w:r>
              <w:rPr/>
              <w:t>`0x40` / `0x41`</w:t>
            </w:r>
          </w:p>
        </w:tc>
        <w:tc>
          <w:tcPr>
            <w:tcW w:w="2064" w:type="dxa"/>
            <w:tcBorders/>
            <w:vAlign w:val="center"/>
          </w:tcPr>
          <w:p>
            <w:pPr>
              <w:pStyle w:val="TableContents"/>
              <w:bidi w:val="0"/>
              <w:spacing w:before="100" w:after="100"/>
              <w:jc w:val="start"/>
              <w:rPr/>
            </w:pPr>
            <w:r>
              <w:rPr/>
              <w:t>Record address straps and current direction.</w:t>
            </w:r>
          </w:p>
        </w:tc>
      </w:tr>
      <w:tr>
        <w:trPr/>
        <w:tc>
          <w:tcPr>
            <w:tcW w:w="1040" w:type="dxa"/>
            <w:tcBorders/>
            <w:vAlign w:val="center"/>
          </w:tcPr>
          <w:p>
            <w:pPr>
              <w:pStyle w:val="TableContents"/>
              <w:bidi w:val="0"/>
              <w:spacing w:before="100" w:after="100"/>
              <w:jc w:val="start"/>
              <w:rPr/>
            </w:pPr>
            <w:r>
              <w:rPr/>
              <w:t>I2C 3.3 V</w:t>
            </w:r>
          </w:p>
        </w:tc>
        <w:tc>
          <w:tcPr>
            <w:tcW w:w="1331" w:type="dxa"/>
            <w:tcBorders/>
            <w:vAlign w:val="center"/>
          </w:tcPr>
          <w:p>
            <w:pPr>
              <w:pStyle w:val="TableContents"/>
              <w:bidi w:val="0"/>
              <w:spacing w:before="100" w:after="100"/>
              <w:jc w:val="start"/>
              <w:rPr/>
            </w:pPr>
            <w:r>
              <w:rPr/>
              <w:t>MCP9808</w:t>
            </w:r>
          </w:p>
        </w:tc>
        <w:tc>
          <w:tcPr>
            <w:tcW w:w="1684" w:type="dxa"/>
            <w:tcBorders/>
            <w:vAlign w:val="center"/>
          </w:tcPr>
          <w:p>
            <w:pPr>
              <w:pStyle w:val="TableContents"/>
              <w:bidi w:val="0"/>
              <w:spacing w:before="100" w:after="100"/>
              <w:jc w:val="start"/>
              <w:rPr/>
            </w:pPr>
            <w:r>
              <w:rPr/>
              <w:t>`0x18`</w:t>
            </w:r>
          </w:p>
        </w:tc>
        <w:tc>
          <w:tcPr>
            <w:tcW w:w="2064" w:type="dxa"/>
            <w:tcBorders/>
            <w:vAlign w:val="center"/>
          </w:tcPr>
          <w:p>
            <w:pPr>
              <w:pStyle w:val="TableContents"/>
              <w:bidi w:val="0"/>
              <w:spacing w:before="100" w:after="100"/>
              <w:jc w:val="start"/>
              <w:rPr/>
            </w:pPr>
            <w:r>
              <w:rPr/>
              <w:t>Keep placement thermally representative.</w:t>
            </w:r>
          </w:p>
        </w:tc>
      </w:tr>
      <w:tr>
        <w:trPr/>
        <w:tc>
          <w:tcPr>
            <w:tcW w:w="1040" w:type="dxa"/>
            <w:tcBorders/>
            <w:vAlign w:val="center"/>
          </w:tcPr>
          <w:p>
            <w:pPr>
              <w:pStyle w:val="TableContents"/>
              <w:bidi w:val="0"/>
              <w:spacing w:before="100" w:after="100"/>
              <w:jc w:val="start"/>
              <w:rPr/>
            </w:pPr>
            <w:r>
              <w:rPr/>
              <w:t>I2C 3.3 V</w:t>
            </w:r>
          </w:p>
        </w:tc>
        <w:tc>
          <w:tcPr>
            <w:tcW w:w="1331" w:type="dxa"/>
            <w:tcBorders/>
            <w:vAlign w:val="center"/>
          </w:tcPr>
          <w:p>
            <w:pPr>
              <w:pStyle w:val="TableContents"/>
              <w:bidi w:val="0"/>
              <w:spacing w:before="100" w:after="100"/>
              <w:jc w:val="start"/>
              <w:rPr/>
            </w:pPr>
            <w:r>
              <w:rPr/>
              <w:t>ADS1115 wind direction</w:t>
            </w:r>
          </w:p>
        </w:tc>
        <w:tc>
          <w:tcPr>
            <w:tcW w:w="1684" w:type="dxa"/>
            <w:tcBorders/>
            <w:vAlign w:val="center"/>
          </w:tcPr>
          <w:p>
            <w:pPr>
              <w:pStyle w:val="TableContents"/>
              <w:bidi w:val="0"/>
              <w:spacing w:before="100" w:after="100"/>
              <w:jc w:val="start"/>
              <w:rPr/>
            </w:pPr>
            <w:r>
              <w:rPr/>
              <w:t>`0x48`</w:t>
            </w:r>
          </w:p>
        </w:tc>
        <w:tc>
          <w:tcPr>
            <w:tcW w:w="2064" w:type="dxa"/>
            <w:tcBorders/>
            <w:vAlign w:val="center"/>
          </w:tcPr>
          <w:p>
            <w:pPr>
              <w:pStyle w:val="TableContents"/>
              <w:bidi w:val="0"/>
              <w:spacing w:before="100" w:after="100"/>
              <w:jc w:val="start"/>
              <w:rPr/>
            </w:pPr>
            <w:r>
              <w:rPr/>
              <w:t>Use a 3.3 V divider; verify ADC range.</w:t>
            </w:r>
          </w:p>
        </w:tc>
      </w:tr>
      <w:tr>
        <w:trPr/>
        <w:tc>
          <w:tcPr>
            <w:tcW w:w="1040" w:type="dxa"/>
            <w:tcBorders/>
            <w:vAlign w:val="center"/>
          </w:tcPr>
          <w:p>
            <w:pPr>
              <w:pStyle w:val="TableContents"/>
              <w:bidi w:val="0"/>
              <w:spacing w:before="100" w:after="100"/>
              <w:jc w:val="start"/>
              <w:rPr/>
            </w:pPr>
            <w:r>
              <w:rPr/>
              <w:t>I2C/SPI optional</w:t>
            </w:r>
          </w:p>
        </w:tc>
        <w:tc>
          <w:tcPr>
            <w:tcW w:w="1331" w:type="dxa"/>
            <w:tcBorders/>
            <w:vAlign w:val="center"/>
          </w:tcPr>
          <w:p>
            <w:pPr>
              <w:pStyle w:val="TableContents"/>
              <w:bidi w:val="0"/>
              <w:spacing w:before="100" w:after="100"/>
              <w:jc w:val="start"/>
              <w:rPr/>
            </w:pPr>
            <w:r>
              <w:rPr/>
              <w:t>LIS3DH</w:t>
            </w:r>
          </w:p>
        </w:tc>
        <w:tc>
          <w:tcPr>
            <w:tcW w:w="1684" w:type="dxa"/>
            <w:tcBorders/>
            <w:vAlign w:val="center"/>
          </w:tcPr>
          <w:p>
            <w:pPr>
              <w:pStyle w:val="TableContents"/>
              <w:bidi w:val="0"/>
              <w:spacing w:before="100" w:after="100"/>
              <w:jc w:val="start"/>
              <w:rPr/>
            </w:pPr>
            <w:r>
              <w:rPr/>
              <w:t>`0x19` or SPI</w:t>
            </w:r>
          </w:p>
        </w:tc>
        <w:tc>
          <w:tcPr>
            <w:tcW w:w="2064" w:type="dxa"/>
            <w:tcBorders/>
            <w:vAlign w:val="center"/>
          </w:tcPr>
          <w:p>
            <w:pPr>
              <w:pStyle w:val="TableContents"/>
              <w:bidi w:val="0"/>
              <w:spacing w:before="100" w:after="100"/>
              <w:jc w:val="start"/>
              <w:rPr/>
            </w:pPr>
            <w:r>
              <w:rPr/>
              <w:t>Avoid collision with MCP9808 at `0x18`.</w:t>
            </w:r>
          </w:p>
        </w:tc>
      </w:tr>
      <w:tr>
        <w:trPr/>
        <w:tc>
          <w:tcPr>
            <w:tcW w:w="1040" w:type="dxa"/>
            <w:tcBorders/>
            <w:vAlign w:val="center"/>
          </w:tcPr>
          <w:p>
            <w:pPr>
              <w:pStyle w:val="TableContents"/>
              <w:bidi w:val="0"/>
              <w:spacing w:before="100" w:after="100"/>
              <w:jc w:val="start"/>
              <w:rPr/>
            </w:pPr>
            <w:r>
              <w:rPr/>
              <w:t>UART</w:t>
            </w:r>
          </w:p>
        </w:tc>
        <w:tc>
          <w:tcPr>
            <w:tcW w:w="1331" w:type="dxa"/>
            <w:tcBorders/>
            <w:vAlign w:val="center"/>
          </w:tcPr>
          <w:p>
            <w:pPr>
              <w:pStyle w:val="TableContents"/>
              <w:bidi w:val="0"/>
              <w:spacing w:before="100" w:after="100"/>
              <w:jc w:val="start"/>
              <w:rPr/>
            </w:pPr>
            <w:r>
              <w:rPr/>
              <w:t>GPS</w:t>
            </w:r>
          </w:p>
        </w:tc>
        <w:tc>
          <w:tcPr>
            <w:tcW w:w="1684" w:type="dxa"/>
            <w:tcBorders/>
            <w:vAlign w:val="center"/>
          </w:tcPr>
          <w:p>
            <w:pPr>
              <w:pStyle w:val="TableContents"/>
              <w:bidi w:val="0"/>
              <w:spacing w:before="100" w:after="100"/>
              <w:jc w:val="start"/>
              <w:rPr/>
            </w:pPr>
            <w:r>
              <w:rPr/>
              <w:t>Dedicated UART</w:t>
            </w:r>
          </w:p>
        </w:tc>
        <w:tc>
          <w:tcPr>
            <w:tcW w:w="2064" w:type="dxa"/>
            <w:tcBorders/>
            <w:vAlign w:val="center"/>
          </w:tcPr>
          <w:p>
            <w:pPr>
              <w:pStyle w:val="TableContents"/>
              <w:bidi w:val="0"/>
              <w:spacing w:before="100" w:after="100"/>
              <w:jc w:val="start"/>
              <w:rPr/>
            </w:pPr>
            <w:r>
              <w:rPr/>
              <w:t>Cross TX/RX; verify logic voltage and approved GPIOs.</w:t>
            </w:r>
          </w:p>
        </w:tc>
      </w:tr>
      <w:tr>
        <w:trPr/>
        <w:tc>
          <w:tcPr>
            <w:tcW w:w="1040" w:type="dxa"/>
            <w:tcBorders/>
            <w:vAlign w:val="center"/>
          </w:tcPr>
          <w:p>
            <w:pPr>
              <w:pStyle w:val="TableContents"/>
              <w:bidi w:val="0"/>
              <w:spacing w:before="100" w:after="100"/>
              <w:jc w:val="start"/>
              <w:rPr/>
            </w:pPr>
            <w:r>
              <w:rPr/>
              <w:t>UART or USB</w:t>
            </w:r>
          </w:p>
        </w:tc>
        <w:tc>
          <w:tcPr>
            <w:tcW w:w="1331" w:type="dxa"/>
            <w:tcBorders/>
            <w:vAlign w:val="center"/>
          </w:tcPr>
          <w:p>
            <w:pPr>
              <w:pStyle w:val="TableContents"/>
              <w:bidi w:val="0"/>
              <w:spacing w:before="100" w:after="100"/>
              <w:jc w:val="start"/>
              <w:rPr/>
            </w:pPr>
            <w:r>
              <w:rPr/>
              <w:t>LTE modem</w:t>
            </w:r>
          </w:p>
        </w:tc>
        <w:tc>
          <w:tcPr>
            <w:tcW w:w="1684" w:type="dxa"/>
            <w:tcBorders/>
            <w:vAlign w:val="center"/>
          </w:tcPr>
          <w:p>
            <w:pPr>
              <w:pStyle w:val="TableContents"/>
              <w:bidi w:val="0"/>
              <w:spacing w:before="100" w:after="100"/>
              <w:jc w:val="start"/>
              <w:rPr/>
            </w:pPr>
            <w:r>
              <w:rPr/>
              <w:t>Dedicated link</w:t>
            </w:r>
          </w:p>
        </w:tc>
        <w:tc>
          <w:tcPr>
            <w:tcW w:w="2064" w:type="dxa"/>
            <w:tcBorders/>
            <w:vAlign w:val="center"/>
          </w:tcPr>
          <w:p>
            <w:pPr>
              <w:pStyle w:val="TableContents"/>
              <w:bidi w:val="0"/>
              <w:spacing w:before="100" w:after="100"/>
              <w:jc w:val="start"/>
              <w:rPr/>
            </w:pPr>
            <w:r>
              <w:rPr/>
              <w:t>Do not block GPS acquisition; freeze after system tests.</w:t>
            </w:r>
          </w:p>
        </w:tc>
      </w:tr>
      <w:tr>
        <w:trPr/>
        <w:tc>
          <w:tcPr>
            <w:tcW w:w="1040" w:type="dxa"/>
            <w:tcBorders/>
            <w:vAlign w:val="center"/>
          </w:tcPr>
          <w:p>
            <w:pPr>
              <w:pStyle w:val="TableContents"/>
              <w:bidi w:val="0"/>
              <w:spacing w:before="100" w:after="100"/>
              <w:jc w:val="start"/>
              <w:rPr/>
            </w:pPr>
            <w:r>
              <w:rPr/>
              <w:t>GPIO pulse</w:t>
            </w:r>
          </w:p>
        </w:tc>
        <w:tc>
          <w:tcPr>
            <w:tcW w:w="1331" w:type="dxa"/>
            <w:tcBorders/>
            <w:vAlign w:val="center"/>
          </w:tcPr>
          <w:p>
            <w:pPr>
              <w:pStyle w:val="TableContents"/>
              <w:bidi w:val="0"/>
              <w:spacing w:before="100" w:after="100"/>
              <w:jc w:val="start"/>
              <w:rPr/>
            </w:pPr>
            <w:r>
              <w:rPr/>
              <w:t>Anemometer</w:t>
            </w:r>
          </w:p>
        </w:tc>
        <w:tc>
          <w:tcPr>
            <w:tcW w:w="1684" w:type="dxa"/>
            <w:tcBorders/>
            <w:vAlign w:val="center"/>
          </w:tcPr>
          <w:p>
            <w:pPr>
              <w:pStyle w:val="TableContents"/>
              <w:bidi w:val="0"/>
              <w:spacing w:before="100" w:after="100"/>
              <w:jc w:val="start"/>
              <w:rPr/>
            </w:pPr>
            <w:r>
              <w:rPr/>
              <w:t>Interrupt-capable input</w:t>
            </w:r>
          </w:p>
        </w:tc>
        <w:tc>
          <w:tcPr>
            <w:tcW w:w="2064" w:type="dxa"/>
            <w:tcBorders/>
            <w:vAlign w:val="center"/>
          </w:tcPr>
          <w:p>
            <w:pPr>
              <w:pStyle w:val="TableContents"/>
              <w:bidi w:val="0"/>
              <w:spacing w:before="100" w:after="100"/>
              <w:jc w:val="start"/>
              <w:rPr/>
            </w:pPr>
            <w:r>
              <w:rPr/>
              <w:t>Protection, pull-up, debounce and pulse-rate tests required.</w:t>
            </w:r>
          </w:p>
        </w:tc>
      </w:tr>
      <w:tr>
        <w:trPr/>
        <w:tc>
          <w:tcPr>
            <w:tcW w:w="1040" w:type="dxa"/>
            <w:tcBorders/>
            <w:vAlign w:val="center"/>
          </w:tcPr>
          <w:p>
            <w:pPr>
              <w:pStyle w:val="TableContents"/>
              <w:bidi w:val="0"/>
              <w:spacing w:before="100" w:after="100"/>
              <w:jc w:val="start"/>
              <w:rPr/>
            </w:pPr>
            <w:r>
              <w:rPr/>
              <w:t>GPIO</w:t>
            </w:r>
          </w:p>
        </w:tc>
        <w:tc>
          <w:tcPr>
            <w:tcW w:w="1331" w:type="dxa"/>
            <w:tcBorders/>
            <w:vAlign w:val="center"/>
          </w:tcPr>
          <w:p>
            <w:pPr>
              <w:pStyle w:val="TableContents"/>
              <w:bidi w:val="0"/>
              <w:spacing w:before="100" w:after="100"/>
              <w:jc w:val="start"/>
              <w:rPr/>
            </w:pPr>
            <w:r>
              <w:rPr/>
              <w:t>Enclosure contact</w:t>
            </w:r>
          </w:p>
        </w:tc>
        <w:tc>
          <w:tcPr>
            <w:tcW w:w="1684" w:type="dxa"/>
            <w:tcBorders/>
            <w:vAlign w:val="center"/>
          </w:tcPr>
          <w:p>
            <w:pPr>
              <w:pStyle w:val="TableContents"/>
              <w:bidi w:val="0"/>
              <w:spacing w:before="100" w:after="100"/>
              <w:jc w:val="start"/>
              <w:rPr/>
            </w:pPr>
            <w:r>
              <w:rPr/>
              <w:t>Filtered input</w:t>
            </w:r>
          </w:p>
        </w:tc>
        <w:tc>
          <w:tcPr>
            <w:tcW w:w="2064" w:type="dxa"/>
            <w:tcBorders/>
            <w:vAlign w:val="center"/>
          </w:tcPr>
          <w:p>
            <w:pPr>
              <w:pStyle w:val="TableContents"/>
              <w:bidi w:val="0"/>
              <w:spacing w:before="100" w:after="100"/>
              <w:jc w:val="start"/>
              <w:rPr/>
            </w:pPr>
            <w:r>
              <w:rPr/>
              <w:t>Prefer cable-fault-detecting behavior.</w:t>
            </w:r>
          </w:p>
        </w:tc>
      </w:tr>
    </w:tbl>
    <w:p>
      <w:pPr>
        <w:pStyle w:val="BodyTextsmall"/>
        <w:bidi w:val="0"/>
        <w:jc w:val="start"/>
        <w:rPr/>
      </w:pPr>
      <w:r>
        <w:rPr/>
        <w:t>Exact GPIO assignments remain governed by the verified schematic and PINOUT.md. This architecture table does not override physical pin validation.</w:t>
      </w:r>
    </w:p>
    <w:p>
      <w:pPr>
        <w:pStyle w:val="Heading2"/>
        <w:bidi w:val="0"/>
        <w:jc w:val="start"/>
        <w:rPr/>
      </w:pPr>
      <w:r>
        <w:rPr/>
        <w:t>8. Removed or excluded items</w:t>
      </w:r>
    </w:p>
    <w:p>
      <w:pPr>
        <w:pStyle w:val="BodyText"/>
        <w:numPr>
          <w:ilvl w:val="0"/>
          <w:numId w:val="1"/>
        </w:numPr>
        <w:tabs>
          <w:tab w:val="clear" w:pos="1134"/>
          <w:tab w:val="left" w:pos="809" w:leader="none"/>
        </w:tabs>
        <w:bidi w:val="0"/>
        <w:spacing w:before="100" w:after="0"/>
        <w:ind w:hanging="283" w:start="809"/>
        <w:jc w:val="start"/>
        <w:rPr/>
      </w:pPr>
      <w:r>
        <w:rPr/>
        <w:t xml:space="preserve">BNO085 sensor fusion is removed from the required Phase 1 design. </w:t>
      </w:r>
    </w:p>
    <w:p>
      <w:pPr>
        <w:pStyle w:val="BodyText"/>
        <w:numPr>
          <w:ilvl w:val="0"/>
          <w:numId w:val="1"/>
        </w:numPr>
        <w:tabs>
          <w:tab w:val="clear" w:pos="1134"/>
          <w:tab w:val="left" w:pos="809" w:leader="none"/>
        </w:tabs>
        <w:bidi w:val="0"/>
        <w:spacing w:before="100" w:after="0"/>
        <w:ind w:hanging="283" w:start="809"/>
        <w:jc w:val="start"/>
        <w:rPr/>
      </w:pPr>
      <w:r>
        <w:rPr/>
        <w:t xml:space="preserve">Load-cell/HX711 anchor-chain tension sensing is removed. </w:t>
      </w:r>
    </w:p>
    <w:p>
      <w:pPr>
        <w:pStyle w:val="BodyText"/>
        <w:numPr>
          <w:ilvl w:val="0"/>
          <w:numId w:val="1"/>
        </w:numPr>
        <w:tabs>
          <w:tab w:val="clear" w:pos="1134"/>
          <w:tab w:val="left" w:pos="809" w:leader="none"/>
        </w:tabs>
        <w:bidi w:val="0"/>
        <w:spacing w:before="100" w:after="0"/>
        <w:ind w:hanging="283" w:start="809"/>
        <w:jc w:val="start"/>
        <w:rPr/>
      </w:pPr>
      <w:r>
        <w:rPr/>
        <w:t xml:space="preserve">Salinity/conductivity is outside Phase 1 scope. </w:t>
      </w:r>
    </w:p>
    <w:p>
      <w:pPr>
        <w:pStyle w:val="BodyText"/>
        <w:numPr>
          <w:ilvl w:val="0"/>
          <w:numId w:val="1"/>
        </w:numPr>
        <w:tabs>
          <w:tab w:val="clear" w:pos="1134"/>
          <w:tab w:val="left" w:pos="809" w:leader="none"/>
        </w:tabs>
        <w:bidi w:val="0"/>
        <w:spacing w:before="100" w:after="0"/>
        <w:ind w:hanging="283" w:start="809"/>
        <w:jc w:val="start"/>
        <w:rPr/>
      </w:pPr>
      <w:r>
        <w:rPr/>
        <w:t xml:space="preserve">The Orange Pi is not installed on the buoy. </w:t>
      </w:r>
    </w:p>
    <w:p>
      <w:pPr>
        <w:pStyle w:val="BodyText"/>
        <w:numPr>
          <w:ilvl w:val="0"/>
          <w:numId w:val="1"/>
        </w:numPr>
        <w:tabs>
          <w:tab w:val="clear" w:pos="1134"/>
          <w:tab w:val="left" w:pos="809" w:leader="none"/>
        </w:tabs>
        <w:bidi w:val="0"/>
        <w:ind w:hanging="283" w:start="809"/>
        <w:jc w:val="start"/>
        <w:rPr/>
      </w:pPr>
      <w:r>
        <w:rPr/>
        <w:t xml:space="preserve">The optional LIS3DH is for tamper evidence only, not wave-height estimation. </w:t>
      </w:r>
    </w:p>
    <w:p>
      <w:pPr>
        <w:pStyle w:val="Heading2"/>
        <w:bidi w:val="0"/>
        <w:jc w:val="start"/>
        <w:rPr/>
      </w:pPr>
      <w:r>
        <w:rPr/>
        <w:t>9. Calibration and acceptance</w:t>
      </w:r>
    </w:p>
    <w:p>
      <w:pPr>
        <w:pStyle w:val="Heading3"/>
        <w:bidi w:val="0"/>
        <w:jc w:val="start"/>
        <w:rPr/>
      </w:pPr>
      <w:r>
        <w:rPr/>
        <w:t>Pressure</w:t>
      </w:r>
    </w:p>
    <w:p>
      <w:pPr>
        <w:pStyle w:val="BodyText"/>
        <w:numPr>
          <w:ilvl w:val="0"/>
          <w:numId w:val="2"/>
        </w:numPr>
        <w:tabs>
          <w:tab w:val="clear" w:pos="1134"/>
          <w:tab w:val="left" w:pos="809" w:leader="none"/>
        </w:tabs>
        <w:bidi w:val="0"/>
        <w:spacing w:before="100" w:after="0"/>
        <w:ind w:hanging="283" w:start="809"/>
        <w:jc w:val="start"/>
        <w:rPr/>
      </w:pPr>
      <w:r>
        <w:rPr/>
        <w:t>Inspect gel, connector, seal and cable.</w:t>
      </w:r>
    </w:p>
    <w:p>
      <w:pPr>
        <w:pStyle w:val="BodyText"/>
        <w:numPr>
          <w:ilvl w:val="0"/>
          <w:numId w:val="2"/>
        </w:numPr>
        <w:tabs>
          <w:tab w:val="clear" w:pos="1134"/>
          <w:tab w:val="left" w:pos="809" w:leader="none"/>
        </w:tabs>
        <w:bidi w:val="0"/>
        <w:spacing w:before="100" w:after="0"/>
        <w:ind w:hanging="283" w:start="809"/>
        <w:jc w:val="start"/>
        <w:rPr/>
      </w:pPr>
      <w:r>
        <w:rPr/>
        <w:t>Record raw pressure in air and at multiple known water depths.</w:t>
      </w:r>
    </w:p>
    <w:p>
      <w:pPr>
        <w:pStyle w:val="BodyText"/>
        <w:numPr>
          <w:ilvl w:val="0"/>
          <w:numId w:val="2"/>
        </w:numPr>
        <w:tabs>
          <w:tab w:val="clear" w:pos="1134"/>
          <w:tab w:val="left" w:pos="809" w:leader="none"/>
        </w:tabs>
        <w:bidi w:val="0"/>
        <w:spacing w:before="100" w:after="0"/>
        <w:ind w:hanging="283" w:start="809"/>
        <w:jc w:val="start"/>
        <w:rPr/>
      </w:pPr>
      <w:r>
        <w:rPr/>
        <w:t>Compare with a traceable reference and record temperature.</w:t>
      </w:r>
    </w:p>
    <w:p>
      <w:pPr>
        <w:pStyle w:val="BodyText"/>
        <w:numPr>
          <w:ilvl w:val="0"/>
          <w:numId w:val="2"/>
        </w:numPr>
        <w:tabs>
          <w:tab w:val="clear" w:pos="1134"/>
          <w:tab w:val="left" w:pos="809" w:leader="none"/>
        </w:tabs>
        <w:bidi w:val="0"/>
        <w:spacing w:before="100" w:after="0"/>
        <w:ind w:hanging="283" w:start="809"/>
        <w:jc w:val="start"/>
        <w:rPr/>
      </w:pPr>
      <w:r>
        <w:rPr/>
        <w:t>Check for trapped air, leaks, drift and spikes.</w:t>
      </w:r>
    </w:p>
    <w:p>
      <w:pPr>
        <w:pStyle w:val="BodyText"/>
        <w:numPr>
          <w:ilvl w:val="0"/>
          <w:numId w:val="2"/>
        </w:numPr>
        <w:tabs>
          <w:tab w:val="clear" w:pos="1134"/>
          <w:tab w:val="left" w:pos="809" w:leader="none"/>
        </w:tabs>
        <w:bidi w:val="0"/>
        <w:spacing w:before="100" w:after="0"/>
        <w:ind w:hanging="283" w:start="809"/>
        <w:jc w:val="start"/>
        <w:rPr/>
      </w:pPr>
      <w:r>
        <w:rPr/>
        <w:t>Freeze the installation offset and algorithm version.</w:t>
      </w:r>
    </w:p>
    <w:p>
      <w:pPr>
        <w:pStyle w:val="BodyText"/>
        <w:numPr>
          <w:ilvl w:val="0"/>
          <w:numId w:val="2"/>
        </w:numPr>
        <w:tabs>
          <w:tab w:val="clear" w:pos="1134"/>
          <w:tab w:val="left" w:pos="809" w:leader="none"/>
        </w:tabs>
        <w:bidi w:val="0"/>
        <w:ind w:hanging="283" w:start="809"/>
        <w:jc w:val="start"/>
        <w:rPr/>
      </w:pPr>
      <w:r>
        <w:rPr/>
        <w:t>Label the output “Estimated wave height” until method validation is complete.</w:t>
      </w:r>
    </w:p>
    <w:p>
      <w:pPr>
        <w:pStyle w:val="Heading3"/>
        <w:bidi w:val="0"/>
        <w:jc w:val="start"/>
        <w:rPr/>
      </w:pPr>
      <w:r>
        <w:rPr/>
        <w:t>Temperature</w:t>
      </w:r>
    </w:p>
    <w:p>
      <w:pPr>
        <w:pStyle w:val="BodyText"/>
        <w:bidi w:val="0"/>
        <w:jc w:val="start"/>
        <w:rPr/>
      </w:pPr>
      <w:r>
        <w:rPr/>
        <w:t>Use a stirred bath or stable chamber at no fewer than three temperatures. Allow stabilization, compare with a traceable thermometer, calculate offset/repeatability, and separately leak-test the deployed probe and bulkhead.</w:t>
      </w:r>
    </w:p>
    <w:p>
      <w:pPr>
        <w:pStyle w:val="Heading3"/>
        <w:bidi w:val="0"/>
        <w:jc w:val="start"/>
        <w:rPr/>
      </w:pPr>
      <w:r>
        <w:rPr/>
        <w:t>Wind</w:t>
      </w:r>
    </w:p>
    <w:p>
      <w:pPr>
        <w:pStyle w:val="BodyText"/>
        <w:bidi w:val="0"/>
        <w:jc w:val="start"/>
        <w:rPr/>
      </w:pPr>
      <w:r>
        <w:rPr/>
        <w:t>Verify mechanical north alignment, every direction code, several steady speeds, low-speed startup, contact bounce, cable movement and salt contamination.</w:t>
      </w:r>
    </w:p>
    <w:p>
      <w:pPr>
        <w:pStyle w:val="Heading3"/>
        <w:bidi w:val="0"/>
        <w:jc w:val="start"/>
        <w:rPr/>
      </w:pPr>
      <w:r>
        <w:rPr/>
        <w:t>GPS and security</w:t>
      </w:r>
    </w:p>
    <w:p>
      <w:pPr>
        <w:pStyle w:val="BodyText"/>
        <w:bidi w:val="0"/>
        <w:jc w:val="start"/>
        <w:rPr/>
      </w:pPr>
      <w:r>
        <w:rPr/>
        <w:t>Measure stationary GPS scatter at the site before setting a geofence. Exercise normal waves, maintenance, enclosure opening and simulated tampering. Ordinary motion must not create a theft alarm.</w:t>
      </w:r>
    </w:p>
    <w:p>
      <w:pPr>
        <w:pStyle w:val="Heading3"/>
        <w:bidi w:val="0"/>
        <w:jc w:val="start"/>
        <w:rPr/>
      </w:pPr>
      <w:r>
        <w:rPr/>
        <w:t>Power and thermal health</w:t>
      </w:r>
    </w:p>
    <w:p>
      <w:pPr>
        <w:pStyle w:val="BodyText"/>
        <w:bidi w:val="0"/>
        <w:jc w:val="start"/>
        <w:rPr/>
      </w:pPr>
      <w:r>
        <w:rPr/>
        <w:t>Compare both INA260 channels with a calibrated DMM and controlled load. Confirm polarity, address, connector heating and error. Thermal-test MCP9808 placement while the modem transmits and converters carry normal load.</w:t>
      </w:r>
    </w:p>
    <w:p>
      <w:pPr>
        <w:pStyle w:val="Heading2"/>
        <w:bidi w:val="0"/>
        <w:ind w:hanging="0" w:start="0" w:end="0"/>
        <w:jc w:val="start"/>
        <w:rPr/>
      </w:pPr>
      <w:r>
        <w:rPr/>
        <w:t>10. Procurement and release checklist</w:t>
      </w:r>
    </w:p>
    <w:p>
      <w:pPr>
        <w:pStyle w:val="BodyText"/>
        <w:bidi w:val="0"/>
        <w:jc w:val="start"/>
        <w:rPr/>
      </w:pPr>
      <w:r>
        <w:rPr/>
        <w:t>Record the following before purchase or PCB fabrication:</w:t>
      </w:r>
    </w:p>
    <w:p>
      <w:pPr>
        <w:pStyle w:val="BodyText"/>
        <w:numPr>
          <w:ilvl w:val="0"/>
          <w:numId w:val="3"/>
        </w:numPr>
        <w:tabs>
          <w:tab w:val="clear" w:pos="1134"/>
          <w:tab w:val="left" w:pos="809" w:leader="none"/>
        </w:tabs>
        <w:bidi w:val="0"/>
        <w:spacing w:before="100" w:after="0"/>
        <w:ind w:hanging="283" w:start="809"/>
        <w:jc w:val="start"/>
        <w:rPr/>
      </w:pPr>
      <w:r>
        <w:rPr/>
        <w:t>manufacturer, exact SKU, revision and supplier;</w:t>
      </w:r>
    </w:p>
    <w:p>
      <w:pPr>
        <w:pStyle w:val="BodyText"/>
        <w:numPr>
          <w:ilvl w:val="0"/>
          <w:numId w:val="3"/>
        </w:numPr>
        <w:tabs>
          <w:tab w:val="clear" w:pos="1134"/>
          <w:tab w:val="left" w:pos="809" w:leader="none"/>
        </w:tabs>
        <w:bidi w:val="0"/>
        <w:spacing w:before="100" w:after="0"/>
        <w:ind w:hanging="283" w:start="809"/>
        <w:jc w:val="start"/>
        <w:rPr/>
      </w:pPr>
      <w:r>
        <w:rPr/>
        <w:t>official datasheet and archived copy;</w:t>
      </w:r>
    </w:p>
    <w:p>
      <w:pPr>
        <w:pStyle w:val="BodyText"/>
        <w:numPr>
          <w:ilvl w:val="0"/>
          <w:numId w:val="3"/>
        </w:numPr>
        <w:tabs>
          <w:tab w:val="clear" w:pos="1134"/>
          <w:tab w:val="left" w:pos="809" w:leader="none"/>
        </w:tabs>
        <w:bidi w:val="0"/>
        <w:spacing w:before="100" w:after="0"/>
        <w:ind w:hanging="283" w:start="809"/>
        <w:jc w:val="start"/>
        <w:rPr/>
      </w:pPr>
      <w:r>
        <w:rPr/>
        <w:t>measured dimensions, connector and pinout;</w:t>
      </w:r>
    </w:p>
    <w:p>
      <w:pPr>
        <w:pStyle w:val="BodyText"/>
        <w:numPr>
          <w:ilvl w:val="0"/>
          <w:numId w:val="3"/>
        </w:numPr>
        <w:tabs>
          <w:tab w:val="clear" w:pos="1134"/>
          <w:tab w:val="left" w:pos="809" w:leader="none"/>
        </w:tabs>
        <w:bidi w:val="0"/>
        <w:spacing w:before="100" w:after="0"/>
        <w:ind w:hanging="283" w:start="809"/>
        <w:jc w:val="start"/>
        <w:rPr/>
      </w:pPr>
      <w:r>
        <w:rPr/>
        <w:t>supply voltage, logic level, normal and peak current;</w:t>
      </w:r>
    </w:p>
    <w:p>
      <w:pPr>
        <w:pStyle w:val="BodyText"/>
        <w:numPr>
          <w:ilvl w:val="0"/>
          <w:numId w:val="3"/>
        </w:numPr>
        <w:tabs>
          <w:tab w:val="clear" w:pos="1134"/>
          <w:tab w:val="left" w:pos="809" w:leader="none"/>
        </w:tabs>
        <w:bidi w:val="0"/>
        <w:spacing w:before="100" w:after="0"/>
        <w:ind w:hanging="283" w:start="809"/>
        <w:jc w:val="start"/>
        <w:rPr/>
      </w:pPr>
      <w:r>
        <w:rPr/>
        <w:t>environmental and ingress limitations;</w:t>
      </w:r>
    </w:p>
    <w:p>
      <w:pPr>
        <w:pStyle w:val="BodyText"/>
        <w:numPr>
          <w:ilvl w:val="0"/>
          <w:numId w:val="3"/>
        </w:numPr>
        <w:tabs>
          <w:tab w:val="clear" w:pos="1134"/>
          <w:tab w:val="left" w:pos="809" w:leader="none"/>
        </w:tabs>
        <w:bidi w:val="0"/>
        <w:spacing w:before="100" w:after="0"/>
        <w:ind w:hanging="283" w:start="809"/>
        <w:jc w:val="start"/>
        <w:rPr/>
      </w:pPr>
      <w:r>
        <w:rPr/>
        <w:t>footprint and 3D-model match;</w:t>
      </w:r>
    </w:p>
    <w:p>
      <w:pPr>
        <w:pStyle w:val="BodyText"/>
        <w:numPr>
          <w:ilvl w:val="0"/>
          <w:numId w:val="3"/>
        </w:numPr>
        <w:tabs>
          <w:tab w:val="clear" w:pos="1134"/>
          <w:tab w:val="left" w:pos="809" w:leader="none"/>
        </w:tabs>
        <w:bidi w:val="0"/>
        <w:spacing w:before="100" w:after="0"/>
        <w:ind w:hanging="283" w:start="809"/>
        <w:jc w:val="start"/>
        <w:rPr/>
      </w:pPr>
      <w:r>
        <w:rPr/>
        <w:t>calibration equipment and acceptance limits;</w:t>
      </w:r>
    </w:p>
    <w:p>
      <w:pPr>
        <w:pStyle w:val="BodyText"/>
        <w:numPr>
          <w:ilvl w:val="0"/>
          <w:numId w:val="3"/>
        </w:numPr>
        <w:tabs>
          <w:tab w:val="clear" w:pos="1134"/>
          <w:tab w:val="left" w:pos="809" w:leader="none"/>
        </w:tabs>
        <w:bidi w:val="0"/>
        <w:ind w:hanging="283" w:start="809"/>
        <w:jc w:val="start"/>
        <w:rPr/>
      </w:pPr>
      <w:r>
        <w:rPr/>
        <w:t>spares, availability and lead time.</w:t>
      </w:r>
    </w:p>
    <w:tbl>
      <w:tblPr>
        <w:tblW w:w="6119" w:type="dxa"/>
        <w:jc w:val="start"/>
        <w:tblInd w:w="0" w:type="dxa"/>
        <w:tblLayout w:type="fixed"/>
        <w:tblCellMar>
          <w:top w:w="28" w:type="dxa"/>
          <w:start w:w="28" w:type="dxa"/>
          <w:bottom w:w="28" w:type="dxa"/>
          <w:end w:w="28" w:type="dxa"/>
        </w:tblCellMar>
      </w:tblPr>
      <w:tblGrid>
        <w:gridCol w:w="6119"/>
      </w:tblGrid>
      <w:tr>
        <w:trPr/>
        <w:tc>
          <w:tcPr>
            <w:tcW w:w="6119" w:type="dxa"/>
            <w:tcBorders/>
            <w:shd w:fill="FFF7ED" w:val="clear"/>
            <w:vAlign w:val="center"/>
          </w:tcPr>
          <w:p>
            <w:pPr>
              <w:pStyle w:val="TableContents"/>
              <w:bidi w:val="0"/>
              <w:spacing w:before="100" w:after="100"/>
              <w:ind w:hanging="0" w:start="0" w:end="0"/>
              <w:jc w:val="start"/>
              <w:rPr/>
            </w:pPr>
            <w:r>
              <w:rPr>
                <w:rStyle w:val="Strong"/>
              </w:rPr>
              <w:t>Fabrication release remains blocked</w:t>
            </w:r>
            <w:r>
              <w:rPr/>
              <w:t xml:space="preserve"> until the water-temperature installation, buzzer, LTE interface, connector variants, footprints, cable glands, current budget and enclosure integration are physically verified. A schematic render or 3D model alone is not validation.</w:t>
            </w:r>
          </w:p>
        </w:tc>
      </w:tr>
    </w:tbl>
    <w:p>
      <w:pPr>
        <w:pStyle w:val="Heading2"/>
        <w:bidi w:val="0"/>
        <w:jc w:val="start"/>
        <w:rPr/>
      </w:pPr>
      <w:r>
        <w:rPr/>
        <w:t>11. Thesis-safe system statement</w:t>
      </w:r>
    </w:p>
    <w:p>
      <w:pPr>
        <w:pStyle w:val="BodyText"/>
        <w:bidi w:val="0"/>
        <w:jc w:val="start"/>
        <w:rPr/>
      </w:pPr>
      <w:r>
        <w:rPr/>
        <w:t>The Phase 1 Project FALCON monitoring system uses a Bar02 R2 pressure sensor, GPS, wind speed/direction sensing, battery and solar electrical monitoring, enclosure temperature, and a marine-capable water-temperature candidate. The ESP32 acquires and validates sensor data before cellular transmission to the shore Bay Station. The station processes pressure history to estimate wave height and support AI prediction. GPS geofencing and an enclosure contact provide security information. Deployment readiness will be claimed only after calibration, ingress, power, LTE, environmental and integration tests are completed.</w:t>
      </w:r>
    </w:p>
    <w:p>
      <w:pPr>
        <w:pStyle w:val="Heading2"/>
        <w:bidi w:val="0"/>
        <w:jc w:val="start"/>
        <w:rPr/>
      </w:pPr>
      <w:r>
        <w:rPr/>
        <w:t>12. Primary manufacturer references</w:t>
      </w:r>
    </w:p>
    <w:p>
      <w:pPr>
        <w:pStyle w:val="BodyText"/>
        <w:numPr>
          <w:ilvl w:val="0"/>
          <w:numId w:val="4"/>
        </w:numPr>
        <w:tabs>
          <w:tab w:val="clear" w:pos="1134"/>
          <w:tab w:val="left" w:pos="709" w:leader="none"/>
        </w:tabs>
        <w:bidi w:val="0"/>
        <w:spacing w:before="100" w:after="0"/>
        <w:ind w:hanging="283" w:start="709" w:end="0"/>
        <w:jc w:val="start"/>
        <w:rPr/>
      </w:pPr>
      <w:r>
        <w:rPr>
          <w:color w:val="4B5563"/>
          <w:sz w:val="17"/>
        </w:rPr>
        <w:t xml:space="preserve">Blue Robotics. </w:t>
      </w:r>
      <w:hyperlink r:id="rId2">
        <w:r>
          <w:rPr>
            <w:rStyle w:val="Hyperlink"/>
            <w:color w:val="4B5563"/>
            <w:sz w:val="17"/>
          </w:rPr>
          <w:t>Bar high-resolution pressure sensors</w:t>
        </w:r>
      </w:hyperlink>
      <w:r>
        <w:rPr>
          <w:color w:val="4B5563"/>
          <w:sz w:val="17"/>
        </w:rPr>
        <w:t xml:space="preserve">. </w:t>
      </w:r>
    </w:p>
    <w:p>
      <w:pPr>
        <w:pStyle w:val="BodyText"/>
        <w:numPr>
          <w:ilvl w:val="0"/>
          <w:numId w:val="4"/>
        </w:numPr>
        <w:tabs>
          <w:tab w:val="clear" w:pos="1134"/>
          <w:tab w:val="left" w:pos="809" w:leader="none"/>
        </w:tabs>
        <w:bidi w:val="0"/>
        <w:spacing w:before="100" w:after="0"/>
        <w:ind w:hanging="283" w:start="809"/>
        <w:jc w:val="start"/>
        <w:rPr/>
      </w:pPr>
      <w:r>
        <w:rPr>
          <w:color w:val="4B5563"/>
          <w:sz w:val="17"/>
        </w:rPr>
        <w:t xml:space="preserve">Blue Robotics. </w:t>
      </w:r>
      <w:hyperlink r:id="rId3">
        <w:r>
          <w:rPr>
            <w:rStyle w:val="Hyperlink"/>
            <w:color w:val="4B5563"/>
            <w:sz w:val="17"/>
          </w:rPr>
          <w:t>Bar sensor technical guide</w:t>
        </w:r>
      </w:hyperlink>
      <w:r>
        <w:rPr>
          <w:color w:val="4B5563"/>
          <w:sz w:val="17"/>
        </w:rPr>
        <w:t xml:space="preserve">. </w:t>
      </w:r>
    </w:p>
    <w:p>
      <w:pPr>
        <w:pStyle w:val="BodyText"/>
        <w:numPr>
          <w:ilvl w:val="0"/>
          <w:numId w:val="4"/>
        </w:numPr>
        <w:tabs>
          <w:tab w:val="clear" w:pos="1134"/>
          <w:tab w:val="left" w:pos="809" w:leader="none"/>
        </w:tabs>
        <w:bidi w:val="0"/>
        <w:spacing w:before="100" w:after="0"/>
        <w:ind w:hanging="283" w:start="809"/>
        <w:jc w:val="start"/>
        <w:rPr/>
      </w:pPr>
      <w:r>
        <w:rPr>
          <w:color w:val="4B5563"/>
          <w:sz w:val="17"/>
        </w:rPr>
        <w:t xml:space="preserve">Blue Robotics. </w:t>
      </w:r>
      <w:hyperlink r:id="rId4">
        <w:r>
          <w:rPr>
            <w:rStyle w:val="Hyperlink"/>
            <w:color w:val="4B5563"/>
            <w:sz w:val="17"/>
          </w:rPr>
          <w:t>Celsius fast-response temperature sensor</w:t>
        </w:r>
      </w:hyperlink>
      <w:r>
        <w:rPr>
          <w:color w:val="4B5563"/>
          <w:sz w:val="17"/>
        </w:rPr>
        <w:t xml:space="preserve">. </w:t>
      </w:r>
    </w:p>
    <w:p>
      <w:pPr>
        <w:pStyle w:val="BodyText"/>
        <w:numPr>
          <w:ilvl w:val="0"/>
          <w:numId w:val="4"/>
        </w:numPr>
        <w:tabs>
          <w:tab w:val="clear" w:pos="1134"/>
          <w:tab w:val="left" w:pos="809" w:leader="none"/>
        </w:tabs>
        <w:bidi w:val="0"/>
        <w:spacing w:before="100" w:after="0"/>
        <w:ind w:hanging="283" w:start="809"/>
        <w:jc w:val="start"/>
        <w:rPr/>
      </w:pPr>
      <w:r>
        <w:rPr>
          <w:color w:val="4B5563"/>
          <w:sz w:val="17"/>
        </w:rPr>
        <w:t xml:space="preserve">Adafruit. </w:t>
      </w:r>
      <w:hyperlink r:id="rId5">
        <w:r>
          <w:rPr>
            <w:rStyle w:val="Hyperlink"/>
            <w:color w:val="4B5563"/>
            <w:sz w:val="17"/>
          </w:rPr>
          <w:t>Ultimate GPS, PID 746</w:t>
        </w:r>
      </w:hyperlink>
      <w:r>
        <w:rPr>
          <w:color w:val="4B5563"/>
          <w:sz w:val="17"/>
        </w:rPr>
        <w:t xml:space="preserve">; GlobalTop </w:t>
      </w:r>
      <w:hyperlink r:id="rId6">
        <w:r>
          <w:rPr>
            <w:rStyle w:val="Hyperlink"/>
            <w:color w:val="4B5563"/>
            <w:sz w:val="17"/>
          </w:rPr>
          <w:t>PA1616S datasheet</w:t>
        </w:r>
      </w:hyperlink>
      <w:r>
        <w:rPr>
          <w:color w:val="4B5563"/>
          <w:sz w:val="17"/>
        </w:rPr>
        <w:t xml:space="preserve">. </w:t>
      </w:r>
    </w:p>
    <w:p>
      <w:pPr>
        <w:pStyle w:val="BodyText"/>
        <w:numPr>
          <w:ilvl w:val="0"/>
          <w:numId w:val="4"/>
        </w:numPr>
        <w:tabs>
          <w:tab w:val="clear" w:pos="1134"/>
          <w:tab w:val="left" w:pos="809" w:leader="none"/>
        </w:tabs>
        <w:bidi w:val="0"/>
        <w:spacing w:before="100" w:after="0"/>
        <w:ind w:hanging="283" w:start="809"/>
        <w:jc w:val="start"/>
        <w:rPr/>
      </w:pPr>
      <w:r>
        <w:rPr>
          <w:color w:val="4B5563"/>
          <w:sz w:val="17"/>
        </w:rPr>
        <w:t xml:space="preserve">SparkFun. </w:t>
      </w:r>
      <w:hyperlink r:id="rId7">
        <w:r>
          <w:rPr>
            <w:rStyle w:val="Hyperlink"/>
            <w:color w:val="4B5563"/>
            <w:sz w:val="17"/>
          </w:rPr>
          <w:t>Weather Meter Kit, SEN-15901</w:t>
        </w:r>
      </w:hyperlink>
      <w:r>
        <w:rPr>
          <w:color w:val="4B5563"/>
          <w:sz w:val="17"/>
        </w:rPr>
        <w:t xml:space="preserve">. </w:t>
      </w:r>
    </w:p>
    <w:p>
      <w:pPr>
        <w:pStyle w:val="BodyText"/>
        <w:numPr>
          <w:ilvl w:val="0"/>
          <w:numId w:val="4"/>
        </w:numPr>
        <w:tabs>
          <w:tab w:val="clear" w:pos="1134"/>
          <w:tab w:val="left" w:pos="809" w:leader="none"/>
        </w:tabs>
        <w:bidi w:val="0"/>
        <w:spacing w:before="100" w:after="0"/>
        <w:ind w:hanging="283" w:start="809"/>
        <w:jc w:val="start"/>
        <w:rPr/>
      </w:pPr>
      <w:r>
        <w:rPr>
          <w:color w:val="4B5563"/>
          <w:sz w:val="17"/>
        </w:rPr>
        <w:t xml:space="preserve">Adafruit. </w:t>
      </w:r>
      <w:hyperlink r:id="rId8">
        <w:r>
          <w:rPr>
            <w:rStyle w:val="Hyperlink"/>
            <w:color w:val="4B5563"/>
            <w:sz w:val="17"/>
          </w:rPr>
          <w:t>Waterproof DS18B20, PID 381</w:t>
        </w:r>
      </w:hyperlink>
      <w:r>
        <w:rPr>
          <w:color w:val="4B5563"/>
          <w:sz w:val="17"/>
        </w:rPr>
        <w:t xml:space="preserve">. </w:t>
      </w:r>
    </w:p>
    <w:p>
      <w:pPr>
        <w:pStyle w:val="BodyText"/>
        <w:numPr>
          <w:ilvl w:val="0"/>
          <w:numId w:val="4"/>
        </w:numPr>
        <w:tabs>
          <w:tab w:val="clear" w:pos="1134"/>
          <w:tab w:val="left" w:pos="809" w:leader="none"/>
        </w:tabs>
        <w:bidi w:val="0"/>
        <w:spacing w:before="100" w:after="0"/>
        <w:ind w:hanging="283" w:start="809"/>
        <w:jc w:val="start"/>
        <w:rPr/>
      </w:pPr>
      <w:r>
        <w:rPr>
          <w:color w:val="4B5563"/>
          <w:sz w:val="17"/>
        </w:rPr>
        <w:t xml:space="preserve">Adafruit. </w:t>
      </w:r>
      <w:hyperlink r:id="rId9">
        <w:r>
          <w:rPr>
            <w:rStyle w:val="Hyperlink"/>
            <w:color w:val="4B5563"/>
            <w:sz w:val="17"/>
          </w:rPr>
          <w:t>INA260, PID 4226</w:t>
        </w:r>
      </w:hyperlink>
      <w:r>
        <w:rPr>
          <w:color w:val="4B5563"/>
          <w:sz w:val="17"/>
        </w:rPr>
        <w:t xml:space="preserve">. </w:t>
      </w:r>
    </w:p>
    <w:p>
      <w:pPr>
        <w:pStyle w:val="BodyText"/>
        <w:numPr>
          <w:ilvl w:val="0"/>
          <w:numId w:val="4"/>
        </w:numPr>
        <w:tabs>
          <w:tab w:val="clear" w:pos="1134"/>
          <w:tab w:val="left" w:pos="809" w:leader="none"/>
        </w:tabs>
        <w:bidi w:val="0"/>
        <w:spacing w:before="100" w:after="0"/>
        <w:ind w:hanging="283" w:start="809"/>
        <w:jc w:val="start"/>
        <w:rPr/>
      </w:pPr>
      <w:r>
        <w:rPr>
          <w:color w:val="4B5563"/>
          <w:sz w:val="17"/>
        </w:rPr>
        <w:t xml:space="preserve">Adafruit. </w:t>
      </w:r>
      <w:hyperlink r:id="rId10">
        <w:r>
          <w:rPr>
            <w:rStyle w:val="Hyperlink"/>
            <w:color w:val="4B5563"/>
            <w:sz w:val="17"/>
          </w:rPr>
          <w:t>MCP9808, PID 1782</w:t>
        </w:r>
      </w:hyperlink>
      <w:r>
        <w:rPr>
          <w:color w:val="4B5563"/>
          <w:sz w:val="17"/>
        </w:rPr>
        <w:t xml:space="preserve">. </w:t>
      </w:r>
    </w:p>
    <w:p>
      <w:pPr>
        <w:pStyle w:val="BodyText"/>
        <w:numPr>
          <w:ilvl w:val="0"/>
          <w:numId w:val="4"/>
        </w:numPr>
        <w:tabs>
          <w:tab w:val="clear" w:pos="1134"/>
          <w:tab w:val="left" w:pos="809" w:leader="none"/>
        </w:tabs>
        <w:bidi w:val="0"/>
        <w:spacing w:before="100" w:after="0"/>
        <w:ind w:hanging="283" w:start="809"/>
        <w:jc w:val="start"/>
        <w:rPr/>
      </w:pPr>
      <w:r>
        <w:rPr>
          <w:color w:val="4B5563"/>
          <w:sz w:val="17"/>
        </w:rPr>
        <w:t xml:space="preserve">Adafruit. </w:t>
      </w:r>
      <w:hyperlink r:id="rId11">
        <w:r>
          <w:rPr>
            <w:rStyle w:val="Hyperlink"/>
            <w:color w:val="4B5563"/>
            <w:sz w:val="17"/>
          </w:rPr>
          <w:t>LIS3DH, PID 2809</w:t>
        </w:r>
      </w:hyperlink>
      <w:r>
        <w:rPr>
          <w:color w:val="4B5563"/>
          <w:sz w:val="17"/>
        </w:rPr>
        <w:t xml:space="preserve">; STMicroelectronics </w:t>
      </w:r>
      <w:hyperlink r:id="rId12">
        <w:r>
          <w:rPr>
            <w:rStyle w:val="Hyperlink"/>
            <w:color w:val="4B5563"/>
            <w:sz w:val="17"/>
          </w:rPr>
          <w:t>datasheet</w:t>
        </w:r>
      </w:hyperlink>
      <w:r>
        <w:rPr>
          <w:color w:val="4B5563"/>
          <w:sz w:val="17"/>
        </w:rPr>
        <w:t xml:space="preserve">. </w:t>
      </w:r>
    </w:p>
    <w:p>
      <w:pPr>
        <w:pStyle w:val="BodyText"/>
        <w:numPr>
          <w:ilvl w:val="0"/>
          <w:numId w:val="4"/>
        </w:numPr>
        <w:tabs>
          <w:tab w:val="clear" w:pos="1134"/>
          <w:tab w:val="left" w:pos="809" w:leader="none"/>
        </w:tabs>
        <w:bidi w:val="0"/>
        <w:spacing w:before="100" w:after="0"/>
        <w:ind w:hanging="283" w:start="809"/>
        <w:jc w:val="start"/>
        <w:rPr/>
      </w:pPr>
      <w:r>
        <w:rPr>
          <w:color w:val="4B5563"/>
          <w:sz w:val="17"/>
        </w:rPr>
        <w:t xml:space="preserve">Adafruit. </w:t>
      </w:r>
      <w:hyperlink r:id="rId13">
        <w:r>
          <w:rPr>
            <w:rStyle w:val="Hyperlink"/>
            <w:color w:val="4B5563"/>
            <w:sz w:val="17"/>
          </w:rPr>
          <w:t>Magnetic contact switch, PID 375</w:t>
        </w:r>
      </w:hyperlink>
      <w:r>
        <w:rPr>
          <w:color w:val="4B5563"/>
          <w:sz w:val="17"/>
        </w:rPr>
        <w:t xml:space="preserve">. </w:t>
      </w:r>
    </w:p>
    <w:p>
      <w:pPr>
        <w:pStyle w:val="BodyText"/>
        <w:numPr>
          <w:ilvl w:val="0"/>
          <w:numId w:val="4"/>
        </w:numPr>
        <w:tabs>
          <w:tab w:val="clear" w:pos="1134"/>
          <w:tab w:val="left" w:pos="809" w:leader="none"/>
        </w:tabs>
        <w:bidi w:val="0"/>
        <w:spacing w:before="100" w:after="100"/>
        <w:ind w:hanging="283" w:start="809"/>
        <w:jc w:val="start"/>
        <w:rPr/>
      </w:pPr>
      <w:r>
        <w:rPr>
          <w:color w:val="4B5563"/>
          <w:sz w:val="17"/>
        </w:rPr>
        <w:t xml:space="preserve">Waveshare. </w:t>
      </w:r>
      <w:hyperlink r:id="rId14">
        <w:r>
          <w:rPr>
            <w:rStyle w:val="Hyperlink"/>
            <w:color w:val="4B5563"/>
            <w:sz w:val="17"/>
          </w:rPr>
          <w:t>SIM7600G-H 4G HAT</w:t>
        </w:r>
      </w:hyperlink>
      <w:r>
        <w:rPr>
          <w:color w:val="4B5563"/>
          <w:sz w:val="17"/>
        </w:rPr>
        <w:t xml:space="preserve">. </w:t>
      </w:r>
    </w:p>
    <w:sectPr>
      <w:type w:val="nextPage"/>
      <w:pgSz w:w="11906" w:h="16838"/>
      <w:pgMar w:left="964" w:right="964" w:gutter="0" w:header="0" w:top="1020" w:footer="0" w:bottom="964"/>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Helvetica"/>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Consolas">
    <w:altName w:val="monospace"/>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Arial;Helvetica;sans-serif" w:hAnsi="Arial;Helvetica;sans-serif" w:eastAsia="Arial;Helvetica;sans-serif" w:cs="Arial;Helvetica;sans-serif"/>
      <w:color w:val="1F2937"/>
      <w:sz w:val="20"/>
      <w:szCs w:val="20"/>
      <w:lang w:val="en-US" w:eastAsia="zh-CN" w:bidi="hi-IN"/>
    </w:rPr>
  </w:style>
  <w:style w:type="paragraph" w:styleId="Heading1">
    <w:name w:val="Heading 1"/>
    <w:basedOn w:val="Heading"/>
    <w:next w:val="BodyText"/>
    <w:qFormat/>
    <w:pPr>
      <w:spacing w:before="240" w:after="160"/>
    </w:pPr>
    <w:rPr>
      <w:rFonts w:ascii="Noto Sans" w:hAnsi="Noto Sans"/>
      <w:b/>
      <w:bCs/>
      <w:color w:val="0B3558"/>
      <w:sz w:val="50"/>
      <w:szCs w:val="50"/>
    </w:rPr>
  </w:style>
  <w:style w:type="paragraph" w:styleId="Heading2">
    <w:name w:val="Heading 2"/>
    <w:basedOn w:val="Heading"/>
    <w:next w:val="BodyText"/>
    <w:qFormat/>
    <w:pPr>
      <w:pBdr>
        <w:bottom w:val="single" w:sz="2" w:space="4" w:color="9FB8C5"/>
      </w:pBdr>
      <w:spacing w:before="360" w:after="160"/>
      <w:ind w:start="360" w:end="360"/>
      <w:outlineLvl w:val="1"/>
    </w:pPr>
    <w:rPr>
      <w:rFonts w:ascii="Liberation Serif" w:hAnsi="Liberation Serif" w:eastAsia="Noto Serif CJK SC" w:cs="Noto Sans Devanagari"/>
      <w:b/>
      <w:bCs/>
      <w:color w:val="0F5D73"/>
      <w:sz w:val="30"/>
      <w:szCs w:val="30"/>
    </w:rPr>
  </w:style>
  <w:style w:type="paragraph" w:styleId="Heading3">
    <w:name w:val="Heading 3"/>
    <w:basedOn w:val="Heading"/>
    <w:next w:val="BodyText"/>
    <w:qFormat/>
    <w:pPr>
      <w:spacing w:before="240" w:after="100"/>
      <w:ind w:start="240" w:end="240"/>
      <w:outlineLvl w:val="2"/>
    </w:pPr>
    <w:rPr>
      <w:rFonts w:ascii="Liberation Serif" w:hAnsi="Liberation Serif" w:eastAsia="Noto Serif CJK SC" w:cs="Noto Sans Devanagari"/>
      <w:b/>
      <w:bCs/>
      <w:color w:val="1E4F66"/>
      <w:sz w:val="23"/>
      <w:szCs w:val="23"/>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F5D73"/>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FollowedHyperlink">
    <w:name w:val="FollowedHyperlink"/>
    <w:rPr>
      <w:color w:val="0F5D73"/>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100" w:after="100"/>
      <w:ind w:start="100" w:end="10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0F5D73" w:val="clear"/>
      <w:jc w:val="start"/>
    </w:pPr>
    <w:rPr>
      <w:b/>
      <w:bCs/>
      <w:color w:val="FFFFFF"/>
    </w:rPr>
  </w:style>
  <w:style w:type="paragraph" w:styleId="BodyTextsmall">
    <w:name w:val="Body Text.small"/>
    <w:basedOn w:val="BodyText"/>
    <w:qFormat/>
    <w:pPr/>
    <w:rPr>
      <w:color w:val="4B5563"/>
      <w:sz w:val="17"/>
      <w:szCs w:val="1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luerobotics.com/store/sensors-cameras/sensors/bar-depth-pressure-sensor/" TargetMode="External"/><Relationship Id="rId3" Type="http://schemas.openxmlformats.org/officeDocument/2006/relationships/hyperlink" Target="https://bluerobotics.com/learn/bar-sensors-guide/" TargetMode="External"/><Relationship Id="rId4" Type="http://schemas.openxmlformats.org/officeDocument/2006/relationships/hyperlink" Target="https://bluerobotics.com/store/sensors-cameras/sensors/celsius-sensor-r1/" TargetMode="External"/><Relationship Id="rId5" Type="http://schemas.openxmlformats.org/officeDocument/2006/relationships/hyperlink" Target="https://www.adafruit.com/product/746" TargetMode="External"/><Relationship Id="rId6" Type="http://schemas.openxmlformats.org/officeDocument/2006/relationships/hyperlink" Target="https://cdn-shop.adafruit.com/product-files/746/CD%20PA1616S%20Datasheet.v03.pdf" TargetMode="External"/><Relationship Id="rId7" Type="http://schemas.openxmlformats.org/officeDocument/2006/relationships/hyperlink" Target="https://www.sparkfun.com/weather-meter-kit.html" TargetMode="External"/><Relationship Id="rId8" Type="http://schemas.openxmlformats.org/officeDocument/2006/relationships/hyperlink" Target="https://www.adafruit.com/product/381" TargetMode="External"/><Relationship Id="rId9" Type="http://schemas.openxmlformats.org/officeDocument/2006/relationships/hyperlink" Target="https://www.adafruit.com/product/4226" TargetMode="External"/><Relationship Id="rId10" Type="http://schemas.openxmlformats.org/officeDocument/2006/relationships/hyperlink" Target="https://www.adafruit.com/product/1782" TargetMode="External"/><Relationship Id="rId11" Type="http://schemas.openxmlformats.org/officeDocument/2006/relationships/hyperlink" Target="https://www.adafruit.com/category/682" TargetMode="External"/><Relationship Id="rId12" Type="http://schemas.openxmlformats.org/officeDocument/2006/relationships/hyperlink" Target="https://cdn-shop.adafruit.com/datasheets/LIS3DH.pdf" TargetMode="External"/><Relationship Id="rId13" Type="http://schemas.openxmlformats.org/officeDocument/2006/relationships/hyperlink" Target="https://www.adafruit.com/product/375" TargetMode="External"/><Relationship Id="rId14" Type="http://schemas.openxmlformats.org/officeDocument/2006/relationships/hyperlink" Target="https://www.waveshare.com/product/iot-communication/sim7600g-h-4g-hat.htm"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2026-09-10T17:06:09Z</dcterms:modified>
  <dc:description>Pressure-sensor baseline synchronized 2026-09-10. HPT604 is a candidate; Bar02 is bench-only. Planned hardware remains unvalidated.</dc:description>
</cp:coreProperties>
</file>

<file path=docProps/custom.xml><?xml version="1.0" encoding="utf-8"?>
<Properties xmlns="http://schemas.openxmlformats.org/officeDocument/2006/custom-properties" xmlns:vt="http://schemas.openxmlformats.org/officeDocument/2006/docPropsVTypes"/>
</file>