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DB612F">
              <w:rPr>
                <w:rFonts w:eastAsiaTheme="minorEastAsia" w:cstheme="minorBidi"/>
                <w:b w:val="0"/>
                <w:bCs w:val="0"/>
                <w:noProof/>
                <w:sz w:val="22"/>
                <w:szCs w:val="22"/>
                <w:lang w:eastAsia="en-IN"/>
              </w:rPr>
              <w:t xml:space="preserve"> </w:t>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r w:rsidR="00F41F32">
            <w:rPr>
              <w:noProof/>
            </w:rPr>
            <w:t xml:space="preserve"> </w:t>
          </w:r>
        </w:p>
        <w:p w:rsidR="001D252B" w:rsidRPr="00F41F32" w:rsidRDefault="00630267" w:rsidP="00F41F32">
          <w:pPr>
            <w:pStyle w:val="Heading2"/>
            <w:rPr>
              <w:rStyle w:val="Hyperlink"/>
              <w:b/>
              <w:bCs w:val="0"/>
            </w:rPr>
          </w:pPr>
          <w:hyperlink w:anchor="_Toc159967515" w:history="1">
            <w:r w:rsidR="000A6613" w:rsidRPr="001D252B">
              <w:rPr>
                <w:rStyle w:val="Hyperlink"/>
                <w:b/>
              </w:rPr>
              <w:t>2.</w:t>
            </w:r>
            <w:r w:rsidR="00331AA0">
              <w:rPr>
                <w:rStyle w:val="Hyperlink"/>
                <w:b/>
              </w:rPr>
              <w:t xml:space="preserve">       </w:t>
            </w:r>
            <w:r w:rsidR="00A220A4" w:rsidRPr="00A220A4">
              <w:rPr>
                <w:rStyle w:val="Hyperlink"/>
                <w:b/>
              </w:rPr>
              <w:t>Policy schedule Interface</w:t>
            </w:r>
            <w:r w:rsidR="001D252B">
              <w:rPr>
                <w:rStyle w:val="Hyperlink"/>
                <w:b/>
              </w:rPr>
              <w:t xml:space="preserve">    </w:t>
            </w:r>
            <w:r w:rsidR="00454FBA" w:rsidRPr="001D252B">
              <w:rPr>
                <w:rStyle w:val="Hyperlink"/>
                <w:b/>
              </w:rPr>
              <w:t xml:space="preserve"> </w:t>
            </w:r>
            <w:r w:rsidR="00331AA0">
              <w:rPr>
                <w:rStyle w:val="Hyperlink"/>
                <w:b/>
              </w:rPr>
              <w:t xml:space="preserve">                          </w:t>
            </w:r>
            <w:r w:rsidR="00A220A4">
              <w:rPr>
                <w:rStyle w:val="Hyperlink"/>
                <w:b/>
              </w:rPr>
              <w:t xml:space="preserve">          </w:t>
            </w:r>
            <w:r w:rsidR="00F41F32">
              <w:rPr>
                <w:rStyle w:val="Hyperlink"/>
                <w:b/>
              </w:rPr>
              <w:t xml:space="preserve">                           </w:t>
            </w:r>
            <w:r w:rsidR="00331AA0">
              <w:rPr>
                <w:rStyle w:val="Hyperlink"/>
                <w:b/>
              </w:rPr>
              <w:t xml:space="preserve">                                           </w:t>
            </w:r>
            <w:r w:rsidR="00DB612F">
              <w:rPr>
                <w:rStyle w:val="Hyperlink"/>
                <w:b/>
              </w:rPr>
              <w:t xml:space="preserve">                              </w:t>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r w:rsidR="00F41F32">
            <w:rPr>
              <w:rStyle w:val="Hyperlink"/>
              <w:b/>
              <w:bCs w:val="0"/>
            </w:rPr>
            <w:t xml:space="preserve">  </w:t>
          </w:r>
        </w:p>
        <w:p w:rsidR="00F00E54" w:rsidRPr="00F80A8E" w:rsidRDefault="005C2574" w:rsidP="00F41F32">
          <w:pPr>
            <w:pStyle w:val="TOC2"/>
            <w:tabs>
              <w:tab w:val="left" w:pos="880"/>
              <w:tab w:val="right" w:pos="9016"/>
            </w:tabs>
            <w:ind w:left="0"/>
            <w:rPr>
              <w:rFonts w:ascii="Bookman Old Style" w:hAnsi="Bookman Old Style"/>
              <w:noProof/>
            </w:rPr>
          </w:pPr>
          <w:r w:rsidRPr="00F80A8E">
            <w:rPr>
              <w:rFonts w:ascii="Bookman Old Style" w:hAnsi="Bookman Old Style"/>
              <w:noProof/>
            </w:rPr>
            <w:fldChar w:fldCharType="end"/>
          </w:r>
          <w:r w:rsidR="00F41F32">
            <w:rPr>
              <w:rFonts w:ascii="Bookman Old Style" w:hAnsi="Bookman Old Style"/>
              <w:noProof/>
            </w:rPr>
            <w:t xml:space="preserve">                                                                                                                                                       </w:t>
          </w:r>
        </w:p>
      </w:sdtContent>
    </w:sdt>
    <w:bookmarkStart w:id="0"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1" w:name="_Toc115188355"/>
      <w:bookmarkStart w:id="2" w:name="_Toc159967514"/>
      <w:r w:rsidRPr="00D91008">
        <w:t>Introduction</w:t>
      </w:r>
      <w:bookmarkEnd w:id="1"/>
      <w:bookmarkEnd w:id="2"/>
    </w:p>
    <w:bookmarkEnd w:id="0"/>
    <w:p w:rsidR="00DB612F" w:rsidRDefault="00DB612F" w:rsidP="00DB612F">
      <w:pPr>
        <w:spacing w:after="0" w:line="240" w:lineRule="auto"/>
        <w:jc w:val="both"/>
        <w:rPr>
          <w:rFonts w:ascii="Bookman Old Style" w:eastAsia="Times New Roman" w:hAnsi="Bookman Old Style" w:cs="Times New Roman"/>
          <w:iCs/>
          <w:lang w:val="en-US"/>
        </w:rPr>
      </w:pPr>
    </w:p>
    <w:p w:rsidR="00A220A4" w:rsidRPr="00A220A4" w:rsidRDefault="00A220A4" w:rsidP="00A220A4">
      <w:pPr>
        <w:spacing w:after="0" w:line="240" w:lineRule="auto"/>
        <w:jc w:val="both"/>
        <w:rPr>
          <w:rFonts w:cstheme="minorHAnsi"/>
          <w:color w:val="000000"/>
          <w:sz w:val="24"/>
          <w:szCs w:val="24"/>
        </w:rPr>
      </w:pPr>
      <w:bookmarkStart w:id="3" w:name="_Toc372713934"/>
      <w:bookmarkStart w:id="4" w:name="_Toc108706731"/>
      <w:bookmarkStart w:id="5" w:name="_Toc158125987"/>
      <w:bookmarkStart w:id="6" w:name="_Toc165995434"/>
      <w:r w:rsidRPr="00A220A4">
        <w:rPr>
          <w:rFonts w:cstheme="minorHAnsi"/>
          <w:color w:val="000000"/>
          <w:sz w:val="24"/>
          <w:szCs w:val="24"/>
        </w:rPr>
        <w:t>As per the requirement, new validation required in the Policy schedule interface screen for Motor Fleet product.</w:t>
      </w:r>
    </w:p>
    <w:p w:rsidR="00A220A4" w:rsidRPr="00A220A4" w:rsidRDefault="00A220A4" w:rsidP="00A220A4">
      <w:pPr>
        <w:pStyle w:val="Bodytext0"/>
        <w:numPr>
          <w:ilvl w:val="0"/>
          <w:numId w:val="35"/>
        </w:numPr>
        <w:spacing w:before="20" w:after="20"/>
        <w:rPr>
          <w:rFonts w:asciiTheme="minorHAnsi" w:eastAsiaTheme="minorHAnsi" w:hAnsiTheme="minorHAnsi" w:cstheme="minorHAnsi"/>
          <w:color w:val="000000"/>
          <w:szCs w:val="24"/>
          <w:lang w:val="en-IN"/>
        </w:rPr>
      </w:pPr>
      <w:r w:rsidRPr="00A220A4">
        <w:rPr>
          <w:rFonts w:asciiTheme="minorHAnsi" w:eastAsiaTheme="minorHAnsi" w:hAnsiTheme="minorHAnsi" w:cstheme="minorHAnsi"/>
          <w:color w:val="000000"/>
          <w:szCs w:val="24"/>
          <w:lang w:val="en-IN"/>
        </w:rPr>
        <w:t xml:space="preserve">Guidelines, circulars, instructions and directions released from time to time by Philippines Insurance council. </w:t>
      </w:r>
    </w:p>
    <w:p w:rsidR="00A220A4" w:rsidRPr="00A220A4" w:rsidRDefault="00A220A4" w:rsidP="00A220A4">
      <w:pPr>
        <w:pStyle w:val="Heading1"/>
        <w:numPr>
          <w:ilvl w:val="0"/>
          <w:numId w:val="0"/>
        </w:numPr>
        <w:ind w:left="360" w:hanging="360"/>
      </w:pPr>
      <w:bookmarkStart w:id="7" w:name="_Toc165558957"/>
      <w:bookmarkEnd w:id="3"/>
      <w:bookmarkEnd w:id="4"/>
      <w:bookmarkEnd w:id="5"/>
      <w:bookmarkEnd w:id="6"/>
      <w:r>
        <w:t xml:space="preserve">1.1 </w:t>
      </w:r>
      <w:r w:rsidRPr="00A220A4">
        <w:t>Functional Overview</w:t>
      </w:r>
      <w:bookmarkEnd w:id="7"/>
      <w:r w:rsidRPr="00A220A4">
        <w:t xml:space="preserve"> </w:t>
      </w:r>
    </w:p>
    <w:p w:rsidR="00F41F32" w:rsidRPr="00F41F32" w:rsidRDefault="00F41F32" w:rsidP="00F41F32">
      <w:pPr>
        <w:pStyle w:val="BodyText"/>
      </w:pPr>
    </w:p>
    <w:p w:rsidR="00A220A4" w:rsidRPr="00A220A4" w:rsidRDefault="00A220A4" w:rsidP="00A220A4">
      <w:pPr>
        <w:ind w:firstLine="720"/>
        <w:jc w:val="both"/>
        <w:rPr>
          <w:rFonts w:cstheme="minorHAnsi"/>
          <w:color w:val="000000"/>
          <w:sz w:val="24"/>
          <w:szCs w:val="24"/>
        </w:rPr>
      </w:pPr>
      <w:r w:rsidRPr="00A220A4">
        <w:rPr>
          <w:rFonts w:cstheme="minorHAnsi"/>
          <w:color w:val="000000"/>
          <w:sz w:val="24"/>
          <w:szCs w:val="24"/>
        </w:rPr>
        <w:t xml:space="preserve">In the policy schedule interface, system should check and raise the validation if master policy does not have the child policy details </w:t>
      </w:r>
    </w:p>
    <w:p w:rsidR="00454FBA" w:rsidRDefault="00A220A4" w:rsidP="00A220A4">
      <w:pPr>
        <w:pStyle w:val="Heading1"/>
      </w:pPr>
      <w:r w:rsidRPr="00A220A4">
        <w:t>Policy schedule Interface</w:t>
      </w:r>
    </w:p>
    <w:p w:rsidR="00A220A4" w:rsidRPr="00A220A4" w:rsidRDefault="00A220A4" w:rsidP="00A220A4">
      <w:pPr>
        <w:pStyle w:val="BodyText"/>
      </w:pPr>
    </w:p>
    <w:p w:rsidR="00A220A4" w:rsidRDefault="00A220A4" w:rsidP="00A220A4">
      <w:pPr>
        <w:pStyle w:val="ListParagraph"/>
        <w:numPr>
          <w:ilvl w:val="0"/>
          <w:numId w:val="39"/>
        </w:numPr>
        <w:spacing w:after="0"/>
        <w:jc w:val="both"/>
        <w:rPr>
          <w:rFonts w:cs="Calibri"/>
          <w:sz w:val="24"/>
          <w:szCs w:val="24"/>
        </w:rPr>
      </w:pPr>
      <w:r w:rsidRPr="00A220A4">
        <w:rPr>
          <w:rFonts w:cs="Calibri"/>
          <w:sz w:val="24"/>
          <w:szCs w:val="24"/>
        </w:rPr>
        <w:t xml:space="preserve">The system should verify if the child policy has been uploaded against the corresponding master policy when generating a policy schedule in the Policy schedule interface screen for the Motor Fleet product. If the child policies </w:t>
      </w:r>
      <w:proofErr w:type="gramStart"/>
      <w:r w:rsidRPr="00A220A4">
        <w:rPr>
          <w:rFonts w:cs="Calibri"/>
          <w:sz w:val="24"/>
          <w:szCs w:val="24"/>
        </w:rPr>
        <w:t>are not uploaded</w:t>
      </w:r>
      <w:proofErr w:type="gramEnd"/>
      <w:r w:rsidRPr="00A220A4">
        <w:rPr>
          <w:rFonts w:cs="Calibri"/>
          <w:sz w:val="24"/>
          <w:szCs w:val="24"/>
        </w:rPr>
        <w:t xml:space="preserve"> against the master policy, the system should show an error message as "Child policy is not uploaded for this Master policy" and restrict to generate the policy schedule document in the Policy schedule interface screen. </w:t>
      </w:r>
    </w:p>
    <w:p w:rsidR="00A220A4" w:rsidRDefault="00A220A4" w:rsidP="00A220A4">
      <w:pPr>
        <w:pStyle w:val="ListParagraph"/>
        <w:spacing w:after="0"/>
        <w:jc w:val="both"/>
        <w:rPr>
          <w:rFonts w:cs="Calibri"/>
          <w:sz w:val="24"/>
          <w:szCs w:val="24"/>
        </w:rPr>
      </w:pPr>
    </w:p>
    <w:p w:rsidR="00A220A4" w:rsidRDefault="00A220A4" w:rsidP="00A220A4">
      <w:pPr>
        <w:pStyle w:val="ListParagraph"/>
        <w:numPr>
          <w:ilvl w:val="0"/>
          <w:numId w:val="39"/>
        </w:numPr>
        <w:spacing w:after="0"/>
        <w:jc w:val="both"/>
        <w:rPr>
          <w:rFonts w:cs="Calibri"/>
          <w:sz w:val="24"/>
          <w:szCs w:val="24"/>
        </w:rPr>
      </w:pPr>
      <w:r>
        <w:rPr>
          <w:rFonts w:cs="Calibri"/>
          <w:sz w:val="24"/>
          <w:szCs w:val="24"/>
        </w:rPr>
        <w:t xml:space="preserve">Click on the policy schedule </w:t>
      </w:r>
      <w:proofErr w:type="gramStart"/>
      <w:r>
        <w:rPr>
          <w:rFonts w:cs="Calibri"/>
          <w:sz w:val="24"/>
          <w:szCs w:val="24"/>
        </w:rPr>
        <w:t>screen and enter the details</w:t>
      </w:r>
      <w:proofErr w:type="gramEnd"/>
      <w:r>
        <w:rPr>
          <w:rFonts w:cs="Calibri"/>
          <w:sz w:val="24"/>
          <w:szCs w:val="24"/>
        </w:rPr>
        <w:t xml:space="preserve"> and click on print button.</w:t>
      </w:r>
    </w:p>
    <w:p w:rsidR="00A220A4" w:rsidRPr="00A220A4" w:rsidRDefault="00A220A4" w:rsidP="00A220A4">
      <w:pPr>
        <w:spacing w:after="0"/>
        <w:ind w:left="360"/>
        <w:jc w:val="both"/>
        <w:rPr>
          <w:rFonts w:cs="Calibri"/>
          <w:sz w:val="24"/>
          <w:szCs w:val="24"/>
        </w:rPr>
      </w:pPr>
    </w:p>
    <w:p w:rsidR="00A220A4" w:rsidRPr="00A220A4" w:rsidRDefault="00A220A4" w:rsidP="00A220A4">
      <w:pPr>
        <w:pStyle w:val="ListParagraph"/>
        <w:spacing w:after="0"/>
        <w:jc w:val="both"/>
        <w:rPr>
          <w:rFonts w:cs="Calibri"/>
          <w:sz w:val="24"/>
          <w:szCs w:val="24"/>
        </w:rPr>
      </w:pPr>
      <w:r>
        <w:rPr>
          <w:noProof/>
          <w:lang w:eastAsia="en-IN"/>
        </w:rPr>
        <w:drawing>
          <wp:inline distT="0" distB="0" distL="0" distR="0" wp14:anchorId="24C84296" wp14:editId="31AF426B">
            <wp:extent cx="5731510" cy="3054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54350"/>
                    </a:xfrm>
                    <a:prstGeom prst="rect">
                      <a:avLst/>
                    </a:prstGeom>
                  </pic:spPr>
                </pic:pic>
              </a:graphicData>
            </a:graphic>
          </wp:inline>
        </w:drawing>
      </w:r>
    </w:p>
    <w:p w:rsidR="00F41F32" w:rsidRPr="00F41F32" w:rsidRDefault="00F41F32" w:rsidP="00F41F32">
      <w:pPr>
        <w:jc w:val="both"/>
        <w:rPr>
          <w:rFonts w:cstheme="minorHAnsi"/>
          <w:b/>
          <w:color w:val="000000"/>
          <w:sz w:val="24"/>
          <w:szCs w:val="24"/>
        </w:rPr>
      </w:pPr>
    </w:p>
    <w:p w:rsidR="00A220A4" w:rsidRDefault="00A220A4" w:rsidP="00331AA0">
      <w:pPr>
        <w:jc w:val="both"/>
        <w:rPr>
          <w:noProof/>
          <w:lang w:eastAsia="en-IN"/>
        </w:rPr>
      </w:pPr>
    </w:p>
    <w:p w:rsidR="00331AA0" w:rsidRDefault="00331AA0" w:rsidP="00331AA0">
      <w:pPr>
        <w:jc w:val="both"/>
        <w:rPr>
          <w:noProof/>
          <w:lang w:eastAsia="en-IN"/>
        </w:rPr>
      </w:pPr>
    </w:p>
    <w:p w:rsidR="00A220A4" w:rsidRDefault="00A220A4" w:rsidP="00331AA0">
      <w:pPr>
        <w:jc w:val="both"/>
        <w:rPr>
          <w:noProof/>
          <w:lang w:eastAsia="en-IN"/>
        </w:rPr>
      </w:pPr>
    </w:p>
    <w:p w:rsidR="00A220A4" w:rsidRDefault="00A220A4" w:rsidP="00331AA0">
      <w:pPr>
        <w:jc w:val="both"/>
        <w:rPr>
          <w:noProof/>
          <w:lang w:eastAsia="en-IN"/>
        </w:rPr>
      </w:pPr>
    </w:p>
    <w:p w:rsidR="00A220A4" w:rsidRDefault="00A220A4" w:rsidP="00331AA0">
      <w:pPr>
        <w:jc w:val="both"/>
        <w:rPr>
          <w:noProof/>
          <w:lang w:eastAsia="en-IN"/>
        </w:rPr>
      </w:pPr>
    </w:p>
    <w:p w:rsidR="00A220A4" w:rsidRPr="00A220A4" w:rsidRDefault="00A220A4" w:rsidP="00A220A4">
      <w:pPr>
        <w:pStyle w:val="ListParagraph"/>
        <w:numPr>
          <w:ilvl w:val="0"/>
          <w:numId w:val="37"/>
        </w:numPr>
        <w:jc w:val="both"/>
        <w:rPr>
          <w:rFonts w:cstheme="minorHAnsi"/>
          <w:color w:val="000000"/>
          <w:sz w:val="24"/>
          <w:szCs w:val="24"/>
        </w:rPr>
      </w:pPr>
      <w:r>
        <w:rPr>
          <w:rFonts w:cs="Calibri"/>
          <w:sz w:val="24"/>
          <w:szCs w:val="24"/>
        </w:rPr>
        <w:t>I</w:t>
      </w:r>
      <w:r w:rsidRPr="00C63E26">
        <w:rPr>
          <w:rFonts w:cs="Calibri"/>
          <w:sz w:val="24"/>
          <w:szCs w:val="24"/>
        </w:rPr>
        <w:t xml:space="preserve">f any </w:t>
      </w:r>
      <w:r>
        <w:rPr>
          <w:rFonts w:cs="Calibri"/>
          <w:sz w:val="24"/>
          <w:szCs w:val="24"/>
        </w:rPr>
        <w:t>endorsements was</w:t>
      </w:r>
      <w:r w:rsidRPr="00C63E26">
        <w:rPr>
          <w:rFonts w:cs="Calibri"/>
          <w:sz w:val="24"/>
          <w:szCs w:val="24"/>
        </w:rPr>
        <w:t xml:space="preserve"> </w:t>
      </w:r>
      <w:r>
        <w:rPr>
          <w:rFonts w:cs="Calibri"/>
          <w:sz w:val="24"/>
          <w:szCs w:val="24"/>
        </w:rPr>
        <w:t xml:space="preserve">done against </w:t>
      </w:r>
      <w:r w:rsidRPr="00C63E26">
        <w:rPr>
          <w:rFonts w:cs="Calibri"/>
          <w:sz w:val="24"/>
          <w:szCs w:val="24"/>
        </w:rPr>
        <w:t xml:space="preserve">the master policy, the system should ensure that the same endorsement </w:t>
      </w:r>
      <w:r>
        <w:rPr>
          <w:rFonts w:cs="Calibri"/>
          <w:sz w:val="24"/>
          <w:szCs w:val="24"/>
        </w:rPr>
        <w:t>was</w:t>
      </w:r>
      <w:r>
        <w:rPr>
          <w:rFonts w:cs="Calibri"/>
          <w:sz w:val="24"/>
          <w:szCs w:val="24"/>
        </w:rPr>
        <w:t xml:space="preserve"> done </w:t>
      </w:r>
      <w:r w:rsidRPr="00C63E26">
        <w:rPr>
          <w:rFonts w:cs="Calibri"/>
          <w:sz w:val="24"/>
          <w:szCs w:val="24"/>
        </w:rPr>
        <w:t>to the child policy</w:t>
      </w:r>
      <w:r>
        <w:rPr>
          <w:rFonts w:cs="Calibri"/>
          <w:sz w:val="24"/>
          <w:szCs w:val="24"/>
        </w:rPr>
        <w:t xml:space="preserve"> also. If the child endorsement is not done, system should raise the error message “Child policy endorsement is not completed. Please do the child policy endorsement”</w:t>
      </w:r>
      <w:r w:rsidRPr="00C63E26">
        <w:rPr>
          <w:rFonts w:cs="Calibri"/>
          <w:sz w:val="24"/>
          <w:szCs w:val="24"/>
        </w:rPr>
        <w:t xml:space="preserve"> </w:t>
      </w:r>
      <w:r w:rsidRPr="00222518">
        <w:rPr>
          <w:rFonts w:cs="Calibri"/>
          <w:sz w:val="24"/>
          <w:szCs w:val="24"/>
        </w:rPr>
        <w:t xml:space="preserve">when attempting to generate the </w:t>
      </w:r>
      <w:r>
        <w:rPr>
          <w:rFonts w:cs="Calibri"/>
          <w:sz w:val="24"/>
          <w:szCs w:val="24"/>
        </w:rPr>
        <w:t>endorsement schedule</w:t>
      </w:r>
      <w:r w:rsidRPr="00222518">
        <w:rPr>
          <w:rFonts w:cs="Calibri"/>
          <w:sz w:val="24"/>
          <w:szCs w:val="24"/>
        </w:rPr>
        <w:t xml:space="preserve"> after the endorsement</w:t>
      </w:r>
      <w:r>
        <w:rPr>
          <w:rFonts w:cs="Calibri"/>
          <w:sz w:val="24"/>
          <w:szCs w:val="24"/>
        </w:rPr>
        <w:t xml:space="preserve"> for Motor Fleet</w:t>
      </w:r>
      <w:r w:rsidRPr="00222518">
        <w:rPr>
          <w:rFonts w:cs="Calibri"/>
          <w:sz w:val="24"/>
          <w:szCs w:val="24"/>
        </w:rPr>
        <w:t>.</w:t>
      </w:r>
    </w:p>
    <w:p w:rsidR="00A220A4" w:rsidRDefault="00A220A4" w:rsidP="00A220A4">
      <w:pPr>
        <w:pStyle w:val="ListParagraph"/>
        <w:jc w:val="both"/>
        <w:rPr>
          <w:rFonts w:cs="Calibri"/>
          <w:sz w:val="24"/>
          <w:szCs w:val="24"/>
        </w:rPr>
      </w:pPr>
    </w:p>
    <w:p w:rsidR="00A220A4" w:rsidRPr="00A220A4" w:rsidRDefault="00A220A4" w:rsidP="00A220A4">
      <w:pPr>
        <w:pStyle w:val="ListParagraph"/>
        <w:jc w:val="both"/>
        <w:rPr>
          <w:rFonts w:cstheme="minorHAnsi"/>
          <w:color w:val="000000"/>
          <w:sz w:val="24"/>
          <w:szCs w:val="24"/>
        </w:rPr>
      </w:pPr>
      <w:r>
        <w:rPr>
          <w:noProof/>
          <w:lang w:eastAsia="en-IN"/>
        </w:rPr>
        <w:drawing>
          <wp:inline distT="0" distB="0" distL="0" distR="0" wp14:anchorId="4FB15839" wp14:editId="619274E5">
            <wp:extent cx="5731510" cy="30543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4350"/>
                    </a:xfrm>
                    <a:prstGeom prst="rect">
                      <a:avLst/>
                    </a:prstGeom>
                  </pic:spPr>
                </pic:pic>
              </a:graphicData>
            </a:graphic>
          </wp:inline>
        </w:drawing>
      </w:r>
    </w:p>
    <w:p w:rsidR="000A6613" w:rsidRDefault="000A6613" w:rsidP="005E2756">
      <w:pPr>
        <w:pStyle w:val="BodyText"/>
        <w:rPr>
          <w:rFonts w:cstheme="minorBidi"/>
          <w:iCs w:val="0"/>
          <w:lang w:val="en-IN"/>
        </w:rPr>
      </w:pPr>
    </w:p>
    <w:p w:rsidR="000A6613" w:rsidRPr="002265AC" w:rsidRDefault="001D252B" w:rsidP="005E2756">
      <w:pPr>
        <w:pStyle w:val="BodyText"/>
        <w:rPr>
          <w:rFonts w:asciiTheme="minorHAnsi" w:eastAsiaTheme="minorHAnsi" w:hAnsiTheme="minorHAnsi" w:cstheme="minorHAnsi"/>
          <w:iCs w:val="0"/>
          <w:color w:val="000000"/>
          <w:sz w:val="24"/>
          <w:szCs w:val="24"/>
          <w:lang w:val="en-IN"/>
        </w:rPr>
      </w:pPr>
      <w:r w:rsidRPr="002265AC">
        <w:rPr>
          <w:rFonts w:asciiTheme="minorHAnsi" w:eastAsiaTheme="minorHAnsi" w:hAnsiTheme="minorHAnsi" w:cstheme="minorHAnsi"/>
          <w:iCs w:val="0"/>
          <w:color w:val="000000"/>
          <w:sz w:val="24"/>
          <w:szCs w:val="24"/>
          <w:lang w:val="en-IN"/>
        </w:rPr>
        <w:t xml:space="preserve">Click </w:t>
      </w:r>
      <w:r w:rsidR="002265AC" w:rsidRPr="002265AC">
        <w:rPr>
          <w:rFonts w:asciiTheme="minorHAnsi" w:eastAsiaTheme="minorHAnsi" w:hAnsiTheme="minorHAnsi" w:cstheme="minorHAnsi"/>
          <w:iCs w:val="0"/>
          <w:color w:val="000000"/>
          <w:sz w:val="24"/>
          <w:szCs w:val="24"/>
          <w:lang w:val="en-IN"/>
        </w:rPr>
        <w:t>on close</w:t>
      </w:r>
      <w:r w:rsidR="00044CF2" w:rsidRPr="002265AC">
        <w:rPr>
          <w:rFonts w:asciiTheme="minorHAnsi" w:eastAsiaTheme="minorHAnsi" w:hAnsiTheme="minorHAnsi" w:cstheme="minorHAnsi"/>
          <w:iCs w:val="0"/>
          <w:color w:val="000000"/>
          <w:sz w:val="24"/>
          <w:szCs w:val="24"/>
          <w:lang w:val="en-IN"/>
        </w:rPr>
        <w:t xml:space="preserve"> button</w:t>
      </w:r>
      <w:r w:rsidR="006105DB" w:rsidRPr="002265AC">
        <w:rPr>
          <w:rFonts w:asciiTheme="minorHAnsi" w:eastAsiaTheme="minorHAnsi" w:hAnsiTheme="minorHAnsi" w:cstheme="minorHAnsi"/>
          <w:iCs w:val="0"/>
          <w:color w:val="000000"/>
          <w:sz w:val="24"/>
          <w:szCs w:val="24"/>
          <w:lang w:val="en-IN"/>
        </w:rPr>
        <w:t xml:space="preserve"> </w:t>
      </w:r>
      <w:r w:rsidR="00044CF2" w:rsidRPr="002265AC">
        <w:rPr>
          <w:rFonts w:asciiTheme="minorHAnsi" w:eastAsiaTheme="minorHAnsi" w:hAnsiTheme="minorHAnsi" w:cstheme="minorHAnsi"/>
          <w:iCs w:val="0"/>
          <w:color w:val="000000"/>
          <w:sz w:val="24"/>
          <w:szCs w:val="24"/>
          <w:lang w:val="en-IN"/>
        </w:rPr>
        <w:t>to close the window.</w:t>
      </w:r>
      <w:bookmarkStart w:id="8" w:name="_GoBack"/>
      <w:bookmarkEnd w:id="8"/>
    </w:p>
    <w:sectPr w:rsidR="000A6613" w:rsidRPr="002265AC" w:rsidSect="00D9309F">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267" w:rsidRDefault="00630267" w:rsidP="00060703">
      <w:pPr>
        <w:spacing w:after="0" w:line="240" w:lineRule="auto"/>
      </w:pPr>
      <w:r>
        <w:separator/>
      </w:r>
    </w:p>
  </w:endnote>
  <w:endnote w:type="continuationSeparator" w:id="0">
    <w:p w:rsidR="00630267" w:rsidRDefault="00630267"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A220A4">
      <w:rPr>
        <w:rFonts w:ascii="Bookman Old Style" w:hAnsi="Bookman Old Style"/>
        <w:noProof/>
        <w:sz w:val="20"/>
        <w:szCs w:val="20"/>
      </w:rPr>
      <w:t>3</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A220A4">
      <w:rPr>
        <w:rFonts w:ascii="Bookman Old Style" w:hAnsi="Bookman Old Style"/>
        <w:noProof/>
        <w:sz w:val="20"/>
        <w:szCs w:val="20"/>
      </w:rPr>
      <w:t>5</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267" w:rsidRDefault="00630267" w:rsidP="00060703">
      <w:pPr>
        <w:spacing w:after="0" w:line="240" w:lineRule="auto"/>
      </w:pPr>
      <w:r>
        <w:separator/>
      </w:r>
    </w:p>
  </w:footnote>
  <w:footnote w:type="continuationSeparator" w:id="0">
    <w:p w:rsidR="00630267" w:rsidRDefault="00630267"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E94F7E"/>
    <w:multiLevelType w:val="hybridMultilevel"/>
    <w:tmpl w:val="9AFEA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2784349"/>
    <w:multiLevelType w:val="hybridMultilevel"/>
    <w:tmpl w:val="4A865BA0"/>
    <w:lvl w:ilvl="0" w:tplc="50F8A7D0">
      <w:start w:val="1"/>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1" w15:restartNumberingAfterBreak="0">
    <w:nsid w:val="532F0768"/>
    <w:multiLevelType w:val="hybridMultilevel"/>
    <w:tmpl w:val="9A8A04FA"/>
    <w:lvl w:ilvl="0" w:tplc="4D868480">
      <w:start w:val="1"/>
      <w:numFmt w:val="bullet"/>
      <w:lvlText w:val=""/>
      <w:lvlJc w:val="left"/>
      <w:pPr>
        <w:ind w:left="1080" w:hanging="360"/>
      </w:pPr>
      <w:rPr>
        <w:rFonts w:ascii="Wingdings" w:eastAsiaTheme="minorHAnsi" w:hAnsi="Wingdings"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0"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DB2F41"/>
    <w:multiLevelType w:val="hybridMultilevel"/>
    <w:tmpl w:val="18D4F0AA"/>
    <w:lvl w:ilvl="0" w:tplc="0CAEE796">
      <w:start w:val="1"/>
      <w:numFmt w:val="bullet"/>
      <w:lvlText w:val=""/>
      <w:lvlJc w:val="left"/>
      <w:pPr>
        <w:ind w:left="720" w:hanging="360"/>
      </w:pPr>
      <w:rPr>
        <w:rFonts w:ascii="Wingdings" w:eastAsiaTheme="minorHAnsi" w:hAnsi="Wingdings" w:cstheme="minorBidi"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3"/>
  </w:num>
  <w:num w:numId="3">
    <w:abstractNumId w:val="2"/>
    <w:lvlOverride w:ilvl="0">
      <w:startOverride w:val="1"/>
    </w:lvlOverride>
  </w:num>
  <w:num w:numId="4">
    <w:abstractNumId w:val="31"/>
  </w:num>
  <w:num w:numId="5">
    <w:abstractNumId w:val="26"/>
  </w:num>
  <w:num w:numId="6">
    <w:abstractNumId w:val="30"/>
  </w:num>
  <w:num w:numId="7">
    <w:abstractNumId w:val="14"/>
  </w:num>
  <w:num w:numId="8">
    <w:abstractNumId w:val="20"/>
  </w:num>
  <w:num w:numId="9">
    <w:abstractNumId w:val="27"/>
  </w:num>
  <w:num w:numId="10">
    <w:abstractNumId w:val="15"/>
  </w:num>
  <w:num w:numId="11">
    <w:abstractNumId w:val="28"/>
  </w:num>
  <w:num w:numId="12">
    <w:abstractNumId w:val="5"/>
  </w:num>
  <w:num w:numId="13">
    <w:abstractNumId w:val="25"/>
  </w:num>
  <w:num w:numId="14">
    <w:abstractNumId w:val="7"/>
  </w:num>
  <w:num w:numId="15">
    <w:abstractNumId w:val="10"/>
  </w:num>
  <w:num w:numId="16">
    <w:abstractNumId w:val="4"/>
  </w:num>
  <w:num w:numId="17">
    <w:abstractNumId w:val="8"/>
  </w:num>
  <w:num w:numId="18">
    <w:abstractNumId w:val="11"/>
  </w:num>
  <w:num w:numId="19">
    <w:abstractNumId w:val="22"/>
  </w:num>
  <w:num w:numId="20">
    <w:abstractNumId w:val="2"/>
  </w:num>
  <w:num w:numId="21">
    <w:abstractNumId w:val="33"/>
  </w:num>
  <w:num w:numId="22">
    <w:abstractNumId w:val="34"/>
  </w:num>
  <w:num w:numId="23">
    <w:abstractNumId w:val="35"/>
  </w:num>
  <w:num w:numId="24">
    <w:abstractNumId w:val="13"/>
  </w:num>
  <w:num w:numId="25">
    <w:abstractNumId w:val="24"/>
  </w:num>
  <w:num w:numId="26">
    <w:abstractNumId w:val="29"/>
  </w:num>
  <w:num w:numId="27">
    <w:abstractNumId w:val="19"/>
  </w:num>
  <w:num w:numId="28">
    <w:abstractNumId w:val="17"/>
  </w:num>
  <w:num w:numId="29">
    <w:abstractNumId w:val="18"/>
  </w:num>
  <w:num w:numId="30">
    <w:abstractNumId w:val="12"/>
  </w:num>
  <w:num w:numId="31">
    <w:abstractNumId w:val="3"/>
  </w:num>
  <w:num w:numId="32">
    <w:abstractNumId w:val="1"/>
  </w:num>
  <w:num w:numId="33">
    <w:abstractNumId w:val="20"/>
  </w:num>
  <w:num w:numId="34">
    <w:abstractNumId w:val="9"/>
  </w:num>
  <w:num w:numId="35">
    <w:abstractNumId w:val="6"/>
  </w:num>
  <w:num w:numId="36">
    <w:abstractNumId w:val="20"/>
  </w:num>
  <w:num w:numId="37">
    <w:abstractNumId w:val="32"/>
  </w:num>
  <w:num w:numId="38">
    <w:abstractNumId w:val="21"/>
  </w:num>
  <w:num w:numId="3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0267"/>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20A4"/>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812C4"/>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0965F-561A-40B4-9B01-59B95044C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ANURAG .K</cp:lastModifiedBy>
  <cp:revision>10</cp:revision>
  <dcterms:created xsi:type="dcterms:W3CDTF">2024-03-14T13:31:00Z</dcterms:created>
  <dcterms:modified xsi:type="dcterms:W3CDTF">2024-06-17T05:18:00Z</dcterms:modified>
</cp:coreProperties>
</file>