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重庆大唐国际实际石柱发电有限责任公司过磅单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单位：${unit}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进场秤号：${scalenumber}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单号:${number}</w:t>
      </w:r>
    </w:p>
    <w:tbl>
      <w:tblPr>
        <w:tblStyle w:val="3"/>
        <w:tblpPr w:leftFromText="180" w:rightFromText="180" w:vertAnchor="text" w:horzAnchor="page" w:tblpX="1094" w:tblpY="101"/>
        <w:tblOverlap w:val="never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344"/>
        <w:gridCol w:w="1210"/>
        <w:gridCol w:w="1394"/>
        <w:gridCol w:w="1267"/>
        <w:gridCol w:w="1294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发货单位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${shipper}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收货单位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${consignee}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货物名称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${name}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${specification}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承运单位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${carryunit}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车号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毛重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皮重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扣重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净重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船号</w:t>
            </w:r>
          </w:p>
        </w:tc>
        <w:tc>
          <w:tcPr>
            <w:tcW w:w="778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${splatenumber}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${roughweight}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${tareweight}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${buckleweight}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${netweight}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重车司磅员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${truckscar}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空车司磅员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${emptycar}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过重车时间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${trucktime}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过轻车时间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${lighttime}</w:t>
            </w:r>
          </w:p>
        </w:tc>
      </w:tr>
    </w:tbl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注：${remark}</w:t>
      </w:r>
    </w:p>
    <w:p/>
    <w:sectPr>
      <w:pgSz w:w="10431" w:h="6236" w:orient="landscape"/>
      <w:pgMar w:top="476" w:right="1803" w:bottom="249" w:left="1236" w:header="851" w:footer="992" w:gutter="0"/>
      <w:cols w:space="720" w:num="1"/>
      <w:rtlGutter w:val="0"/>
      <w:docGrid w:type="lines" w:linePitch="34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mYzNmYjQyNTFiMzYwMTJlODI4ZmFkZDM2YzNlYmQifQ=="/>
  </w:docVars>
  <w:rsids>
    <w:rsidRoot w:val="00000000"/>
    <w:rsid w:val="53B53768"/>
    <w:rsid w:val="552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311</Characters>
  <Lines>0</Lines>
  <Paragraphs>0</Paragraphs>
  <TotalTime>0</TotalTime>
  <ScaleCrop>false</ScaleCrop>
  <LinksUpToDate>false</LinksUpToDate>
  <CharactersWithSpaces>316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2023-05-10T08:16:00Z</dcterms:created>
  <dc:creator>HBL</dc:creator>
  <cp:lastModifiedBy>62563</cp:lastModifiedBy>
  <dcterms:modified xsi:type="dcterms:W3CDTF">2023-05-10T15:41:20Z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5D8E99C96A564DFA98F938935FDFA09C_12</vt:lpwstr>
  </property>
</Properties>
</file>