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Simplebank.sol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contract SimpleBank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// Mapping to store balance of each 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mapping(address =&gt; uint256) public balances;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 Address of contract owner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address public owner;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constructor()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owner = msg.sender; // owner = account who deployed contract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 Deposit money into your own wallet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function deposit() public payable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require(msg.value &gt; 0, "Deposit amount must be greater than 0");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balances[msg.sender] += msg.value;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Withdraw money from your wallet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function withdraw(uint256 amount) public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require(balances[msg.sender] &gt;= amount, "Insufficient balance");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Update balance BEFORE transfer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balances[msg.sender] -= amount;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// Transfer ETH to user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payable(msg.sender).transfer(amount);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 Check your balance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function getBalance() public view returns (uint256)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balances[msg.sender];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Only owner can check total contract balance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function getContractBalance() public view returns (uint256)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require(msg.sender == owner, "Only owner can check this");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address(this).balance;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color w:val="6a3e3e"/>
          <w:sz w:val="20"/>
          <w:szCs w:val="20"/>
          <w:highlight w:val="white"/>
        </w:rPr>
        <w:drawing>
          <wp:inline distB="114300" distT="114300" distL="114300" distR="114300">
            <wp:extent cx="5943600" cy="356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800" l="0" r="0" t="-8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color w:val="6a3e3e"/>
          <w:sz w:val="20"/>
          <w:szCs w:val="20"/>
          <w:highlight w:val="white"/>
        </w:rPr>
        <w:drawing>
          <wp:inline distB="114300" distT="114300" distL="114300" distR="114300">
            <wp:extent cx="7053263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263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color w:val="6a3e3e"/>
          <w:sz w:val="20"/>
          <w:szCs w:val="20"/>
          <w:highlight w:val="white"/>
        </w:rPr>
        <w:drawing>
          <wp:inline distB="114300" distT="114300" distL="114300" distR="114300">
            <wp:extent cx="5943600" cy="3022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color w:val="6a3e3e"/>
          <w:sz w:val="20"/>
          <w:szCs w:val="20"/>
          <w:highlight w:val="white"/>
        </w:rPr>
        <w:drawing>
          <wp:inline distB="114300" distT="114300" distL="114300" distR="114300">
            <wp:extent cx="5943600" cy="3035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color w:val="6a3e3e"/>
          <w:sz w:val="20"/>
          <w:szCs w:val="20"/>
          <w:highlight w:val="white"/>
        </w:rPr>
        <w:drawing>
          <wp:inline distB="114300" distT="114300" distL="114300" distR="114300">
            <wp:extent cx="5943600" cy="331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6a3e3e"/>
          <w:sz w:val="42"/>
          <w:szCs w:val="42"/>
          <w:highlight w:val="white"/>
        </w:rPr>
      </w:pPr>
      <w:hyperlink r:id="rId11">
        <w:r w:rsidDel="00000000" w:rsidR="00000000" w:rsidRPr="00000000">
          <w:rPr>
            <w:color w:val="1155cc"/>
            <w:sz w:val="42"/>
            <w:szCs w:val="42"/>
            <w:highlight w:val="white"/>
            <w:u w:val="single"/>
            <w:rtl w:val="0"/>
          </w:rPr>
          <w:t xml:space="preserve">https://remix.ethereum.org/#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6a3e3e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6a3e3e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a3e3e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6a3e3e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6a3e3e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6a3e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6a3e3e"/>
          <w:sz w:val="42"/>
          <w:szCs w:val="42"/>
          <w:highlight w:val="white"/>
        </w:rPr>
      </w:pPr>
      <w:hyperlink r:id="rId12">
        <w:r w:rsidDel="00000000" w:rsidR="00000000" w:rsidRPr="00000000">
          <w:rPr>
            <w:color w:val="1155cc"/>
            <w:sz w:val="42"/>
            <w:szCs w:val="42"/>
            <w:highlight w:val="white"/>
            <w:u w:val="single"/>
            <w:rtl w:val="0"/>
          </w:rPr>
          <w:t xml:space="preserve">https://sepolia.etherscan.io/address/0xed6dc7380a2e86f36ab266686996ad838abed345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emix.ethereum.org/#" TargetMode="External"/><Relationship Id="rId10" Type="http://schemas.openxmlformats.org/officeDocument/2006/relationships/image" Target="media/image3.png"/><Relationship Id="rId12" Type="http://schemas.openxmlformats.org/officeDocument/2006/relationships/hyperlink" Target="https://sepolia.etherscan.io/address/0xed6dc7380a2e86f36ab266686996ad838abed345" TargetMode="Externa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