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4C2BC3">
      <w:pPr>
        <w:pStyle w:val="32"/>
      </w:pPr>
      <w:r>
        <w:t>1996 PROTOCOL ON DISPUTE SETTLEMENT MECHANISM</w:t>
      </w:r>
    </w:p>
    <w:p w14:paraId="4AA9A31D">
      <w:pPr>
        <w:pStyle w:val="2"/>
        <w:jc w:val="both"/>
      </w:pPr>
    </w:p>
    <w:p w14:paraId="7DFE41C5">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w:t>
      </w:r>
      <w:r>
        <w:t xml:space="preserve">The rules and procedures of this Protocol shall apply to disputes brought pursuant to the consultation and dispute settlement provisions of the Agreement as well as the agreements listed in Appendix 1 and future ASEAN economic agreements (the "covered agreements"). </w:t>
      </w:r>
    </w:p>
    <w:p w14:paraId="35701733">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w:t>
      </w:r>
      <w:r>
        <w:t xml:space="preserve">The rules and procedures of this Protocol shall apply subject to such special or additional rules and procedures on dispute settlement contained in the covered agreements. To the extent that there is a difference between the rules and procedures of this Protocol and the special or additional rules and procedures in the covered agreements, the special or additional rules and procedures shall prevail. </w:t>
      </w:r>
    </w:p>
    <w:p w14:paraId="1C754F9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3.</w:t>
      </w:r>
      <w:r>
        <w:t xml:space="preserve">The provisions of this Protocol are without prejudice to the rights of Member States to seek recourse to other fora for the settlement of disputes involving other Member States. A Member State involved in a dispute can resort to other fora at any stage before the Senior Economic Officials Meeting ("SEOM") has made a ruling on the panel report. </w:t>
      </w:r>
    </w:p>
    <w:p w14:paraId="700ABF4E">
      <w:pPr>
        <w:pStyle w:val="44"/>
        <w:ind w:left="0"/>
        <w:contextualSpacing w:val="0"/>
      </w:pPr>
    </w:p>
    <w:p w14:paraId="4FC18A8B">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4.</w:t>
      </w:r>
      <w:r>
        <w:t xml:space="preserve">Member States shall accord adequate opportunity for consultations regarding any representations made by other Member States with respect to any matter affecting the implementation, interpretation or application of the Agreement or any covered agreement. Any differences shall, as far as possible, be settled amicably between the Member States. </w:t>
      </w:r>
    </w:p>
    <w:p w14:paraId="6926A4B1">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5.</w:t>
      </w:r>
      <w:r>
        <w:t xml:space="preserve">Member States which consider that any benefit accruing to them directly or indirectly, under the Agreement or any covered agreement is being nullified or impaired, or that the attainment of any objective of the Agreement or any covered agreement is being impeded as a result of failure of another Member State to carry out its obligations under the Agreement or any covered agreement, or the existence of any other situation may, with a view to achieving satisfactory settlement of the matter, make representations or proposals to the other Member State concerned, which shall give due consideration to the representations or proposals made to it. </w:t>
      </w:r>
    </w:p>
    <w:p w14:paraId="428536C4">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6.</w:t>
      </w:r>
      <w:r>
        <w:t xml:space="preserve">If a request for consultations is made, the Member State to which the request is made shall reply to the request within ten (10) days after the date of its receipt and shall enter into consultations within a period of no more than thirty (30) days after the date of receipt of the request, with a view to reaching a mutually satisfactory solution. </w:t>
      </w:r>
    </w:p>
    <w:p w14:paraId="074891DE">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7.</w:t>
      </w:r>
      <w:r>
        <w:t xml:space="preserve">Member States which are parties to a dispute may at any time agree to good offices, conciliation or mediation. They may begin at any time and be terminated at any time. Once procedures for good offices, conciliation or mediation are terminated, a complaining party may then proceed to raise the matter to SEOM. </w:t>
      </w:r>
    </w:p>
    <w:p w14:paraId="726409F0">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8.</w:t>
      </w:r>
      <w:r>
        <w:t xml:space="preserve">If the parties to a dispute agree, procedures for good offices, conciliation or mediation may continue while the dispute proceeds. </w:t>
      </w:r>
    </w:p>
    <w:p w14:paraId="120E7CD8">
      <w:pPr>
        <w:pStyle w:val="44"/>
        <w:numPr>
          <w:ilvl w:val="0"/>
          <w:numId w:val="0"/>
        </w:numPr>
        <w:ind w:left="720" w:leftChars="0" w:hanging="357" w:firstLineChars="0"/>
        <w:contextualSpacing w:val="0"/>
      </w:pPr>
      <w:r>
        <w:rPr>
          <w:rFonts w:hint="default" w:ascii="Arial" w:hAnsi="Arial" w:eastAsia="Calibri" w:cs="Times New Roman"/>
          <w:lang w:val="en-US" w:eastAsia="en-US" w:bidi="ar-SA"/>
        </w:rPr>
        <w:t>9.</w:t>
      </w:r>
      <w:r>
        <w:t xml:space="preserve">If the consultations fail to settle a dispute within sixty (60) days after the date of receipt of the request for consultations, the matter shall be raised to the SEOM. </w:t>
      </w:r>
    </w:p>
    <w:p w14:paraId="120CF915">
      <w:pPr>
        <w:pStyle w:val="44"/>
        <w:numPr>
          <w:ilvl w:val="0"/>
          <w:numId w:val="0"/>
        </w:numPr>
        <w:ind w:left="720" w:leftChars="0" w:hanging="357" w:firstLineChars="0"/>
        <w:contextualSpacing w:val="0"/>
      </w:pPr>
      <w:r>
        <w:rPr>
          <w:rFonts w:hint="default" w:ascii="Arial" w:hAnsi="Arial" w:eastAsia="Calibri" w:cs="Times New Roman"/>
          <w:lang w:val="en-US" w:eastAsia="en-US" w:bidi="ar-SA"/>
        </w:rPr>
        <w:t>10.</w:t>
      </w:r>
      <w:r>
        <w:t>The SEOM shall</w:t>
      </w:r>
      <w:r>
        <w:rPr>
          <w:rFonts w:hint="eastAsia" w:eastAsia="宋体"/>
          <w:lang w:val="en-US" w:eastAsia="zh-CN"/>
        </w:rPr>
        <w:t xml:space="preserve"> </w:t>
      </w:r>
      <w:r>
        <w:t xml:space="preserve">establish a panel; or </w:t>
      </w:r>
      <w:r>
        <w:rPr>
          <w:rFonts w:hint="eastAsia" w:eastAsia="宋体"/>
          <w:lang w:val="en-US" w:eastAsia="zh-CN"/>
        </w:rPr>
        <w:t xml:space="preserve"> </w:t>
      </w:r>
      <w:r>
        <w:t xml:space="preserve">where applicable, raise the matter to the special body in charge of the special or additional rules and procedures for its consideration. </w:t>
      </w:r>
    </w:p>
    <w:p w14:paraId="428503AA">
      <w:pPr>
        <w:pStyle w:val="44"/>
        <w:numPr>
          <w:ilvl w:val="0"/>
          <w:numId w:val="0"/>
        </w:numPr>
        <w:ind w:left="720" w:leftChars="0" w:hanging="357" w:firstLineChars="0"/>
        <w:contextualSpacing w:val="0"/>
      </w:pPr>
      <w:r>
        <w:rPr>
          <w:rFonts w:hint="default" w:ascii="Arial" w:hAnsi="Arial" w:eastAsia="Calibri" w:cs="Times New Roman"/>
          <w:lang w:val="en-US" w:eastAsia="en-US" w:bidi="ar-SA"/>
        </w:rPr>
        <w:t>11.</w:t>
      </w:r>
      <w:r>
        <w:t xml:space="preserve">Notwithstanding Article 4 paragraph 2, if the SEOM considers it desirable to do so in a particular case, it may decide to deal with the dispute to achieve an amicable settlement without appointing a panel. This step shall be taken without any extension of the thirty (30)-day period in Article 5 paragraph 2. </w:t>
      </w:r>
    </w:p>
    <w:p w14:paraId="69C35E56">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12.</w:t>
      </w:r>
      <w:r>
        <w:t xml:space="preserve">The function of the panel is to make an objective assessment of the dispute before it, including an examination of the facts of the case and the applicability of and conformity with the sections of the Agreement or any covered agreement, and make such other findings as will assist the SEOM in making the rulings provided for under the Agreement or any covered agreement. </w:t>
      </w:r>
    </w:p>
    <w:p w14:paraId="18E655FA">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13.</w:t>
      </w:r>
      <w:r>
        <w:t xml:space="preserve">The SEOM shall establish a panel no later than thirty (30) days after the date on which the dispute has been raised to it. </w:t>
      </w:r>
    </w:p>
    <w:p w14:paraId="17A72807">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14.</w:t>
      </w:r>
      <w:r>
        <w:t xml:space="preserve">The SEOM shall make the final determination of the size, composition and terms of reference of the panel. </w:t>
      </w:r>
    </w:p>
    <w:p w14:paraId="32CFAA79">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15.</w:t>
      </w:r>
      <w:r>
        <w:t xml:space="preserve">The panel shall, apart from the matters covered in Appendix 2, regulate its own procedures in relation to the rights of parties to be heard and its deliberations. </w:t>
      </w:r>
    </w:p>
    <w:p w14:paraId="4C25DD11">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16.</w:t>
      </w:r>
      <w:r>
        <w:t xml:space="preserve">The panel shall submit its findings to the SEOM within sixty (60) days of its formation. In exceptional cases, the panel may take an additional ten (10) days to submit its findings to SEOM. Within this time period, the panel shall accord adequate opportunity to the parties to the dispute to review the report before submission. </w:t>
      </w:r>
    </w:p>
    <w:p w14:paraId="18DED1DB">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17.</w:t>
      </w:r>
      <w:r>
        <w:t xml:space="preserve">The panel shall have the right to seek information and technical advice from any individual or body which it deems appropriate. A Member State should respond promptly and fully to any request by a panel for such information as the panel considers necessary and appropriate. </w:t>
      </w:r>
    </w:p>
    <w:p w14:paraId="3CF64667">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18.</w:t>
      </w:r>
      <w:r>
        <w:t xml:space="preserve">Panel deliberations shall be confidential. The reports of panels shall be drafted without the presence of the parties to the dispute in the light of the information provided and the statements made. </w:t>
      </w:r>
    </w:p>
    <w:p w14:paraId="6A313DC9">
      <w:pPr>
        <w:pStyle w:val="44"/>
        <w:ind w:left="0"/>
        <w:contextualSpacing w:val="0"/>
      </w:pPr>
    </w:p>
    <w:p w14:paraId="77D826FC">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19.</w:t>
      </w:r>
      <w:r>
        <w:rPr>
          <w:rFonts w:ascii="Arial" w:hAnsi="Arial"/>
        </w:rPr>
        <w:t xml:space="preserve">The SEOM shall consider the report of the panel in its deliberations and make a ruling on the dispute within thirty (30) days from the submission of the report by the panel. In exceptional cases, SEOM may take an additional ten (10) days to make a ruling on the dispute. SEOM representatives from Member States which are parties to a dispute can be present during the process of deliberation but shall not participate in the ruling of SEOM. SEOM shall make a ruling based on simple majority. </w:t>
      </w:r>
    </w:p>
    <w:p w14:paraId="475A5BF6">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20.</w:t>
      </w:r>
      <w:bookmarkStart w:id="0" w:name="_GoBack"/>
      <w:bookmarkEnd w:id="0"/>
      <w:r>
        <w:t xml:space="preserve">Member States, who are parties to the dispute, may appeal the ruling by the SEOM to the ASEAN Economic Ministers ("AEM") within thirty (30) days of the ruling. </w:t>
      </w:r>
    </w:p>
    <w:p w14:paraId="74F6F5E3">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21.</w:t>
      </w:r>
      <w:r>
        <w:t xml:space="preserve">The AEM shall make a decision within thirty (30) days of the appeal. In exceptional cases, AEM may take an additional ten (10) days to make a decision on the dispute. Economic Ministers from Member States which are parties to a dispute can be present during the process of deliberation but shall not participate in the decision of AEM. AEM shall make a decision based on simple majority. The decision of the AEM on the appeal shall be final and binding on all parties to the dispute. </w:t>
      </w:r>
    </w:p>
    <w:p w14:paraId="16A2C49D">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22.</w:t>
      </w:r>
      <w:r>
        <w:t xml:space="preserve">Since prompt compliance with the rulings of the SEOM or decisions of the AEM is essential in order to ensure effective resolution of disputes, Member States who are parties to the dispute shall comply with the ruling or decision, as the case may be, within a reasonable time period. The reasonable period of time shall be a period of time mutually agreed to by the parties to the dispute but under no circumstances should it exceed thirty (30) days from the SEOM's ruling or in the event of an appeal thirty (30) days from the AEM's decision. The Member States concerned shall provide the SEOM or the AEM, as the case may be, with a status report in writing of their progress in the implementation of the ruling or decision. </w:t>
      </w:r>
    </w:p>
    <w:p w14:paraId="1D1A293F">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23.</w:t>
      </w:r>
      <w:r>
        <w:t xml:space="preserve">If the Member State concerned fails to bring the measure found to be inconsistent with the Agreement or any covered agreement into compliance therewith or otherwise comply with SEOM's rulings or AEM's decisions within the reasonable period of time, such Member State shall, if so requested, and no later than the expiry of the reasonable period of time, enter into negotiations with any party having invoked the dispute settlement procedures, with a view to developing mutually acceptable compensation. If no satisfactory compensation has been agreed within 20 (twenty) days after the date of expiry of the reasonable period of time, any party having invoked the dispute settlement procedures may request authorization from the AEM to suspend the application to the Member State concerned of concessions or other obligations under the Agreement or any covered agreements. </w:t>
      </w:r>
    </w:p>
    <w:p w14:paraId="34520707">
      <w:pPr>
        <w:pStyle w:val="44"/>
        <w:numPr>
          <w:ilvl w:val="0"/>
          <w:numId w:val="0"/>
        </w:numPr>
        <w:ind w:left="720" w:leftChars="0" w:hanging="360" w:firstLineChars="0"/>
        <w:contextualSpacing w:val="0"/>
      </w:pPr>
      <w:r>
        <w:rPr>
          <w:rFonts w:hint="default" w:ascii="Arial" w:hAnsi="Arial" w:eastAsia="Calibri" w:cs="Times New Roman"/>
          <w:lang w:val="en-US" w:eastAsia="en-US" w:bidi="ar-SA"/>
        </w:rPr>
        <w:t>24.</w:t>
      </w:r>
      <w:r>
        <w:t xml:space="preserve">However, neither compensation nor the suspension of concessions or other obligations is preferred to full implementation of a recommendation to bring a measure into conformity with the Agreement or any covered agreements. </w:t>
      </w:r>
    </w:p>
    <w:p w14:paraId="2867309C">
      <w:pPr>
        <w:pStyle w:val="44"/>
        <w:numPr>
          <w:ilvl w:val="0"/>
          <w:numId w:val="0"/>
        </w:numPr>
        <w:ind w:left="720" w:leftChars="0" w:hanging="360" w:firstLineChars="0"/>
        <w:contextualSpacing w:val="0"/>
        <w:rPr>
          <w:rFonts w:ascii="Arial" w:hAnsi="Arial"/>
        </w:rPr>
      </w:pPr>
      <w:r>
        <w:rPr>
          <w:rFonts w:hint="default" w:ascii="Arial" w:hAnsi="Arial" w:eastAsia="Calibri" w:cs="Times New Roman"/>
          <w:lang w:val="en-US" w:eastAsia="en-US" w:bidi="ar-SA"/>
        </w:rPr>
        <w:t>25.</w:t>
      </w:r>
      <w:r>
        <w:rPr>
          <w:rFonts w:ascii="Arial" w:hAnsi="Arial"/>
        </w:rPr>
        <w:t xml:space="preserve">Member States agree that the total period for the disposal of a dispute pursuant to Articles 2, 4, 5, 6, 7, 8 and 9 of this Protocol shall not exceed two hundred and ninety (290) days. </w:t>
      </w:r>
    </w:p>
    <w:p w14:paraId="0C7211DC">
      <w:pPr>
        <w:pStyle w:val="44"/>
        <w:numPr>
          <w:ilvl w:val="0"/>
          <w:numId w:val="0"/>
        </w:numPr>
        <w:ind w:left="720" w:leftChars="0" w:hanging="360" w:firstLineChars="0"/>
        <w:contextualSpacing w:val="0"/>
        <w:rPr>
          <w:rFonts w:ascii="Arial" w:hAnsi="Arial"/>
        </w:rPr>
      </w:pPr>
      <w:r>
        <w:rPr>
          <w:rFonts w:hint="default" w:ascii="Arial" w:hAnsi="Arial" w:eastAsia="Calibri" w:cs="Times New Roman"/>
          <w:lang w:val="en-US" w:eastAsia="en-US" w:bidi="ar-SA"/>
        </w:rPr>
        <w:t>26.</w:t>
      </w:r>
      <w:r>
        <w:rPr>
          <w:rFonts w:ascii="Arial" w:hAnsi="Arial"/>
        </w:rPr>
        <w:t xml:space="preserve">The ASEAN Secretariat shall have the responsibility of assisting the panels, especially on the historical and procedural aspects of the matters dealt with, and of providing secretarial and technical support. </w:t>
      </w:r>
    </w:p>
    <w:p w14:paraId="3127E957">
      <w:pPr>
        <w:pStyle w:val="44"/>
        <w:numPr>
          <w:ilvl w:val="0"/>
          <w:numId w:val="0"/>
        </w:numPr>
        <w:ind w:left="720" w:leftChars="0" w:hanging="360" w:firstLineChars="0"/>
        <w:contextualSpacing w:val="0"/>
        <w:rPr>
          <w:rFonts w:ascii="Arial" w:hAnsi="Arial"/>
        </w:rPr>
      </w:pPr>
      <w:r>
        <w:rPr>
          <w:rFonts w:hint="default" w:ascii="Arial" w:hAnsi="Arial" w:eastAsia="Calibri" w:cs="Times New Roman"/>
          <w:lang w:val="en-US" w:eastAsia="en-US" w:bidi="ar-SA"/>
        </w:rPr>
        <w:t>27.</w:t>
      </w:r>
      <w:r>
        <w:rPr>
          <w:rFonts w:ascii="Arial" w:hAnsi="Arial"/>
        </w:rPr>
        <w:t xml:space="preserve">The ASEAN Secretariat shall have the responsibility of monitoring and maintaining under surveillance the implementation of the SEOM's ruling and AEM's decision as the case may be. </w:t>
      </w:r>
    </w:p>
    <w:p w14:paraId="089413A7">
      <w:pPr>
        <w:pStyle w:val="44"/>
        <w:numPr>
          <w:ilvl w:val="0"/>
          <w:numId w:val="0"/>
        </w:numPr>
        <w:ind w:left="720" w:leftChars="0" w:hanging="360" w:firstLineChars="0"/>
        <w:contextualSpacing w:val="0"/>
        <w:rPr>
          <w:rFonts w:ascii="Arial" w:hAnsi="Arial"/>
        </w:rPr>
      </w:pPr>
      <w:r>
        <w:rPr>
          <w:rFonts w:hint="default" w:ascii="Arial" w:hAnsi="Arial" w:eastAsia="Calibri" w:cs="Times New Roman"/>
          <w:lang w:val="en-US" w:eastAsia="en-US" w:bidi="ar-SA"/>
        </w:rPr>
        <w:t>28.</w:t>
      </w:r>
      <w:r>
        <w:rPr>
          <w:rFonts w:ascii="Arial" w:hAnsi="Arial"/>
        </w:rPr>
        <w:t xml:space="preserve">The ASEAN Secretariat may offer good offices, conciliation or mediation with the view to assisting Members to settle a dispute. </w:t>
      </w:r>
    </w:p>
    <w:p w14:paraId="33C592C1">
      <w:pPr>
        <w:pStyle w:val="44"/>
        <w:numPr>
          <w:ilvl w:val="0"/>
          <w:numId w:val="0"/>
        </w:numPr>
        <w:ind w:left="720" w:leftChars="0" w:hanging="360" w:firstLineChars="0"/>
        <w:contextualSpacing w:val="0"/>
        <w:rPr>
          <w:rFonts w:ascii="Arial" w:hAnsi="Arial"/>
        </w:rPr>
      </w:pPr>
      <w:r>
        <w:rPr>
          <w:rFonts w:hint="default" w:ascii="Arial" w:hAnsi="Arial" w:eastAsia="Calibri" w:cs="Times New Roman"/>
          <w:lang w:val="en-US" w:eastAsia="en-US" w:bidi="ar-SA"/>
        </w:rPr>
        <w:t>29.</w:t>
      </w:r>
      <w:r>
        <w:rPr>
          <w:rFonts w:ascii="Arial" w:hAnsi="Arial"/>
        </w:rPr>
        <w:t xml:space="preserve">This Protocol shall be deposited with the Secretary-General of ASEAN who shall promptly furnish a certified copy thereof to each Member State. </w:t>
      </w:r>
    </w:p>
    <w:p w14:paraId="0EF5ABFC">
      <w:pPr>
        <w:pStyle w:val="44"/>
        <w:numPr>
          <w:ilvl w:val="0"/>
          <w:numId w:val="0"/>
        </w:numPr>
        <w:ind w:left="720" w:leftChars="0" w:hanging="360" w:firstLineChars="0"/>
        <w:contextualSpacing w:val="0"/>
        <w:rPr>
          <w:rFonts w:ascii="Arial" w:hAnsi="Arial"/>
        </w:rPr>
      </w:pPr>
      <w:r>
        <w:rPr>
          <w:rFonts w:hint="default" w:ascii="Arial" w:hAnsi="Arial" w:eastAsia="Calibri" w:cs="Times New Roman"/>
          <w:lang w:val="en-US" w:eastAsia="en-US" w:bidi="ar-SA"/>
        </w:rPr>
        <w:t>30.</w:t>
      </w:r>
      <w:r>
        <w:rPr>
          <w:rFonts w:ascii="Arial" w:hAnsi="Arial"/>
        </w:rPr>
        <w:t xml:space="preserve">This Protocol shall enter into force upon the deposit of instruments of ratification or acceptance by all signatory governments with the Secretary-General of ASEAN.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5A0FB">
    <w:pPr>
      <w:pStyle w:val="10"/>
      <w:tabs>
        <w:tab w:val="right" w:pos="8931"/>
        <w:tab w:val="clear" w:pos="9360"/>
      </w:tabs>
      <w:jc w:val="right"/>
    </w:pPr>
  </w:p>
  <w:p w14:paraId="2DF234D5">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11</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11</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45FF9">
    <w:pPr>
      <w:pStyle w:val="10"/>
      <w:tabs>
        <w:tab w:val="right" w:pos="8931"/>
        <w:tab w:val="clear" w:pos="9360"/>
      </w:tabs>
      <w:jc w:val="right"/>
    </w:pPr>
  </w:p>
  <w:p w14:paraId="6EB88B62">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5391B">
    <w:pPr>
      <w:pStyle w:val="11"/>
      <w:pBdr>
        <w:bottom w:val="single" w:color="auto" w:sz="4" w:space="1"/>
      </w:pBdr>
    </w:pPr>
    <w:r>
      <w:rPr>
        <w:rFonts w:cs="Arial"/>
        <w:caps/>
        <w:color w:val="808080"/>
        <w:sz w:val="16"/>
        <w:szCs w:val="16"/>
      </w:rPr>
      <w:t>1996 PROTOCOL ON DISPUTE SETTLEMENT MECHANISM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739"/>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2164"/>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76986"/>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3D"/>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512DD"/>
    <w:rsid w:val="0086274F"/>
    <w:rsid w:val="00863AA4"/>
    <w:rsid w:val="008657D0"/>
    <w:rsid w:val="00871D6D"/>
    <w:rsid w:val="00875863"/>
    <w:rsid w:val="008761FC"/>
    <w:rsid w:val="00877739"/>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08CD"/>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226C"/>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295"/>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3332"/>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7F3405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b/>
      <w:bCs/>
      <w:caps/>
      <w:sz w:val="28"/>
      <w:szCs w:val="28"/>
      <w:lang w:val="en-US" w:eastAsia="en-US"/>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DF366-20CA-448D-85E8-7632E1B60A0C}">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3</Pages>
  <Words>3555</Words>
  <Characters>19118</Characters>
  <Lines>169</Lines>
  <Paragraphs>47</Paragraphs>
  <TotalTime>1</TotalTime>
  <ScaleCrop>false</ScaleCrop>
  <LinksUpToDate>false</LinksUpToDate>
  <CharactersWithSpaces>22626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2018-07-04T02:00:00Z</dcterms:created>
  <dc:creator>XPS</dc:creator>
  <cp:lastModifiedBy>Patrick</cp:lastModifiedBy>
  <cp:lastPrinted>2017-01-10T07:02:00Z</cp:lastPrinted>
  <dcterms:modified xsi:type="dcterms:W3CDTF">2025-07-28T13:30:42Z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EF359B3B97FF4BF0B91AB2B31476CAEA_12</vt:lpwstr>
  </property>
</Properties>
</file>