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CD5275">
      <w:pPr>
        <w:pStyle w:val="31"/>
      </w:pPr>
      <w:r>
        <w:t>1997 ASEAN CUSTOMS VISION 2020: VISION STATEMENTS</w:t>
      </w:r>
    </w:p>
    <w:p w14:paraId="3BBB92C3">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1.</w:t>
      </w:r>
      <w:r>
        <w:rPr>
          <w:i/>
        </w:rPr>
        <w:t>Procedures for Goods in Transit and Temporary Admission</w:t>
      </w:r>
      <w:r>
        <w:t xml:space="preserve">: to simplify and harmonise these procedures and requirements on a regional basis; </w:t>
      </w:r>
    </w:p>
    <w:p w14:paraId="291CA96A">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2.</w:t>
      </w:r>
      <w:r>
        <w:rPr>
          <w:i/>
        </w:rPr>
        <w:t>Automation</w:t>
      </w:r>
      <w:r>
        <w:t xml:space="preserve">: to ensure maximum use of state-of-the-art information technology to assist in the efficient performance of all international trade and customs functions and activities. Such systems should comply with UNEDIFACT to enhance linkage; </w:t>
      </w:r>
    </w:p>
    <w:p w14:paraId="1DD19BE0">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3.</w:t>
      </w:r>
      <w:r>
        <w:rPr>
          <w:i/>
        </w:rPr>
        <w:t>Cargo Processing</w:t>
      </w:r>
      <w:r>
        <w:t xml:space="preserve">: to promote facilitation, simplicity and uniformity for the processing of cargo. Targets will be formulated for the time release of goods, benchmarks and performance standards to be reviewed and met continuously. To develop activities which account for the assurance that only those procedures that contribute to effective implementation of customs control is utilised; to separate the process of goods release from process of revenue collection, accounting and statistical reporting to expedite customs clearance; to establish pre-arrival processing of transactions; to use advanced risk assessment, profiling and selectivity techniques to identify risk consignments for physical examination; </w:t>
      </w:r>
    </w:p>
    <w:p w14:paraId="64AE31A0">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4.</w:t>
      </w:r>
      <w:r>
        <w:rPr>
          <w:i/>
        </w:rPr>
        <w:t>Tariff Classification</w:t>
      </w:r>
      <w:r>
        <w:t xml:space="preserve">: to promote transparency, consistency and uniformity/equivalence of treatment on tariff classification rulings; </w:t>
      </w:r>
    </w:p>
    <w:p w14:paraId="218FA227">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5.</w:t>
      </w:r>
      <w:r>
        <w:rPr>
          <w:i/>
        </w:rPr>
        <w:t>Valuation</w:t>
      </w:r>
      <w:r>
        <w:t>: to promote transparency, consistency and uniformity on valuation methods and rulings;</w:t>
      </w:r>
    </w:p>
    <w:p w14:paraId="241C983F">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6.</w:t>
      </w:r>
      <w:r>
        <w:rPr>
          <w:i/>
        </w:rPr>
        <w:t>Rules of Origin</w:t>
      </w:r>
      <w:r>
        <w:t xml:space="preserve">: to promote transparency and uniformity/equivalence of application of rules of origin; </w:t>
      </w:r>
    </w:p>
    <w:p w14:paraId="6B729D3B">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7.</w:t>
      </w:r>
      <w:r>
        <w:rPr>
          <w:i/>
        </w:rPr>
        <w:t>Audit</w:t>
      </w:r>
      <w:r>
        <w:t xml:space="preserve">: to apply post-entry audits and development of ASEAN guidelines for post-audit system based on best practices; </w:t>
      </w:r>
    </w:p>
    <w:p w14:paraId="0CE3C3F7">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8.</w:t>
      </w:r>
      <w:r>
        <w:rPr>
          <w:i/>
        </w:rPr>
        <w:t>Enforcement</w:t>
      </w:r>
      <w:r>
        <w:t>: to apply risk management techniques and check small percentage of consignments;</w:t>
      </w:r>
    </w:p>
    <w:p w14:paraId="4DC2420D">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9.</w:t>
      </w:r>
      <w:r>
        <w:rPr>
          <w:rFonts w:ascii="Arial" w:hAnsi="Arial"/>
          <w:i/>
        </w:rPr>
        <w:t xml:space="preserve">Training and Human Resource Development: to promote regional uniformity, coordinated action, equivalent treatment and homogeneity. Also to promote excellence, resource, expertise, research on customs relevant to the needs of the region; </w:t>
      </w:r>
    </w:p>
    <w:p w14:paraId="0B710024">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10.</w:t>
      </w:r>
      <w:r>
        <w:rPr>
          <w:rFonts w:ascii="Arial" w:hAnsi="Arial"/>
          <w:i/>
        </w:rPr>
        <w:t xml:space="preserve">Partnership with the Business Community: to establish a close relationship with the business community for the mutual benefit of customs control, revenue collection, trade and commercial activity. </w:t>
      </w:r>
    </w:p>
    <w:p w14:paraId="42804EF3">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11.</w:t>
      </w:r>
      <w:r>
        <w:rPr>
          <w:rFonts w:ascii="Arial" w:hAnsi="Arial"/>
          <w:i/>
        </w:rPr>
        <w:t xml:space="preserve">Mutual Assistance: to enhance the effectiveness of customs compliance and control to reduce smuggling and other customs frauds, and to promote uniformity and harmonisation; </w:t>
      </w:r>
    </w:p>
    <w:p w14:paraId="20728CDD">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12.</w:t>
      </w:r>
      <w:r>
        <w:rPr>
          <w:rFonts w:ascii="Arial" w:hAnsi="Arial"/>
          <w:i/>
        </w:rPr>
        <w:t xml:space="preserve">International Customs Fora: to conform to international standards to promote consistency of customs treatment to traders. To ensure greater coherence and proactiveness of ASEAN customs in relevant international fora; </w:t>
      </w:r>
    </w:p>
    <w:p w14:paraId="1B4E8A20">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13.</w:t>
      </w:r>
      <w:bookmarkStart w:id="0" w:name="_GoBack"/>
      <w:bookmarkEnd w:id="0"/>
      <w:r>
        <w:rPr>
          <w:rFonts w:ascii="Arial" w:hAnsi="Arial"/>
          <w:i/>
        </w:rPr>
        <w:t xml:space="preserve">Technical Assistance Programme to ASEAN Customs Administrations: to promote equal levels of development amongst customs administration in ASEAN so as to enhance regional efficiency, effectiveness and uniformity; </w:t>
      </w:r>
    </w:p>
    <w:p w14:paraId="5F2C5CE6">
      <w:pPr>
        <w:pStyle w:val="43"/>
        <w:numPr>
          <w:ilvl w:val="0"/>
          <w:numId w:val="0"/>
        </w:numPr>
        <w:ind w:left="720" w:leftChars="0" w:hanging="360" w:firstLineChars="0"/>
        <w:contextualSpacing w:val="0"/>
        <w:rPr>
          <w:rFonts w:ascii="Arial" w:hAnsi="Arial"/>
          <w:i/>
        </w:rPr>
      </w:pPr>
      <w:r>
        <w:rPr>
          <w:rFonts w:hint="default" w:ascii="Arial" w:hAnsi="Arial" w:eastAsia="Calibri" w:cs="Times New Roman"/>
          <w:i/>
          <w:lang w:val="en-US" w:eastAsia="en-US" w:bidi="ar-SA"/>
        </w:rPr>
        <w:t>14.</w:t>
      </w:r>
      <w:r>
        <w:rPr>
          <w:rFonts w:ascii="Arial" w:hAnsi="Arial"/>
          <w:i/>
        </w:rPr>
        <w:t xml:space="preserve">Transparency Enhancement: to promote transparency, accountability, appeals and accessibility to information on customs procedures and requirements; </w:t>
      </w:r>
    </w:p>
    <w:p w14:paraId="21423803">
      <w:pPr>
        <w:pStyle w:val="43"/>
        <w:numPr>
          <w:ilvl w:val="0"/>
          <w:numId w:val="0"/>
        </w:numPr>
        <w:ind w:left="720" w:leftChars="0" w:hanging="360" w:firstLineChars="0"/>
        <w:contextualSpacing w:val="0"/>
      </w:pPr>
      <w:r>
        <w:rPr>
          <w:rFonts w:hint="default" w:ascii="Arial" w:hAnsi="Arial" w:eastAsia="Calibri" w:cs="Times New Roman"/>
          <w:lang w:val="en-US" w:eastAsia="en-US" w:bidi="ar-SA"/>
        </w:rPr>
        <w:t>15.</w:t>
      </w:r>
      <w:r>
        <w:rPr>
          <w:rFonts w:ascii="Arial" w:hAnsi="Arial"/>
          <w:i/>
        </w:rPr>
        <w:t xml:space="preserve">Strategic Planning and Management: to take enlightened approaches to management of customs by defining corporate objectives and strategic plans to strike the right balance between customs control and trade facilitation. To make better use of resources, strengthen management capabilities and devise appropriate systems, processes and structures. To ensure the highest level of integrity and professional standards within customs and the provision of quality service;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674FA">
    <w:pPr>
      <w:pStyle w:val="9"/>
      <w:tabs>
        <w:tab w:val="right" w:pos="8931"/>
        <w:tab w:val="clear" w:pos="9360"/>
      </w:tabs>
      <w:jc w:val="right"/>
    </w:pPr>
  </w:p>
  <w:p w14:paraId="3E3418AF">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753591">
    <w:pPr>
      <w:pStyle w:val="9"/>
      <w:tabs>
        <w:tab w:val="right" w:pos="8931"/>
        <w:tab w:val="clear" w:pos="9360"/>
      </w:tabs>
      <w:jc w:val="right"/>
    </w:pPr>
  </w:p>
  <w:p w14:paraId="6C3CB473">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A05CE">
    <w:pPr>
      <w:pStyle w:val="10"/>
      <w:pBdr>
        <w:bottom w:val="single" w:color="auto" w:sz="4" w:space="1"/>
      </w:pBdr>
    </w:pPr>
    <w:r>
      <w:rPr>
        <w:rFonts w:cs="Arial"/>
        <w:caps/>
        <w:color w:val="808080"/>
        <w:sz w:val="16"/>
        <w:szCs w:val="16"/>
      </w:rPr>
      <w:t>1997 ASEAN CUSTOMS VISION 2020: VISION STATEMENTS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A93"/>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72CC"/>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36DD"/>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57A93"/>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56B"/>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2E89"/>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A7B37"/>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225B"/>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0138"/>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894"/>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5A71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left"/>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C69D2-F6F6-4B3D-A85D-986ABAA7720D}">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971</Words>
  <Characters>5879</Characters>
  <Lines>93</Lines>
  <Paragraphs>40</Paragraphs>
  <TotalTime>2</TotalTime>
  <ScaleCrop>false</ScaleCrop>
  <LinksUpToDate>false</LinksUpToDate>
  <CharactersWithSpaces>6844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2019-12-12T04:00:00Z</dcterms:created>
  <dc:creator>XPS</dc:creator>
  <cp:lastModifiedBy>Patrick</cp:lastModifiedBy>
  <cp:lastPrinted>2017-01-10T07:08:00Z</cp:lastPrinted>
  <dcterms:modified xsi:type="dcterms:W3CDTF">2025-07-27T09:14:34Z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55B19A7225E646898F841F02372DA07D_12</vt:lpwstr>
  </property>
</Properties>
</file>