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C243C9">
      <w:pPr>
        <w:pStyle w:val="31"/>
      </w:pPr>
      <w:r>
        <w:t>2007 Protocol to Provide Special Consideration for Rice and Sugar</w:t>
      </w:r>
    </w:p>
    <w:p w14:paraId="3DCC4568">
      <w:pPr>
        <w:numPr>
          <w:ilvl w:val="0"/>
          <w:numId w:val="0"/>
        </w:numPr>
        <w:ind w:left="720" w:leftChars="0" w:hanging="360" w:firstLineChars="0"/>
      </w:pPr>
      <w:r>
        <w:rPr>
          <w:rFonts w:ascii="Arial" w:hAnsi="Arial" w:eastAsia="Calibri" w:cs="Times New Roman"/>
          <w:lang w:val="en-US" w:eastAsia="en-US" w:bidi="ar-SA"/>
        </w:rPr>
        <w:t>1.</w:t>
      </w:r>
      <w:r>
        <w:t>The objective of this Protocol is to allow an ASEAN Member State to, under exceptional cases, request for waiver from the obligations imposed under the CEPT Agreement and its related Protocols, with regard to rice and sugar.</w:t>
      </w:r>
    </w:p>
    <w:p w14:paraId="608F8E68">
      <w:pPr>
        <w:numPr>
          <w:ilvl w:val="0"/>
          <w:numId w:val="0"/>
        </w:numPr>
        <w:ind w:left="720" w:leftChars="0" w:hanging="360" w:firstLineChars="0"/>
        <w:rPr>
          <w:rFonts w:ascii="Arial" w:hAnsi="Arial"/>
        </w:rPr>
      </w:pPr>
      <w:r>
        <w:rPr>
          <w:rFonts w:ascii="Arial" w:hAnsi="Arial" w:eastAsia="Calibri" w:cs="Times New Roman"/>
          <w:lang w:val="en-US" w:eastAsia="en-US" w:bidi="ar-SA"/>
        </w:rPr>
        <w:t>2.</w:t>
      </w:r>
      <w:r>
        <w:rPr>
          <w:rFonts w:ascii="Arial" w:hAnsi="Arial"/>
        </w:rPr>
        <w:t>The exceptional cases shall include situations beyond those under Article 6 (Emergency Measures) of the CEPT Agreement, Article Vll(2) of the S/HS Products Protocol and the TEL Protocol.</w:t>
      </w:r>
    </w:p>
    <w:p w14:paraId="6CB30898">
      <w:pPr>
        <w:numPr>
          <w:ilvl w:val="0"/>
          <w:numId w:val="0"/>
        </w:numPr>
        <w:ind w:left="720" w:leftChars="0" w:hanging="360" w:firstLineChars="0"/>
        <w:rPr>
          <w:rFonts w:ascii="Arial" w:hAnsi="Arial"/>
        </w:rPr>
      </w:pPr>
      <w:r>
        <w:rPr>
          <w:rFonts w:ascii="Arial" w:hAnsi="Arial" w:eastAsia="Calibri" w:cs="Times New Roman"/>
          <w:lang w:val="en-US" w:eastAsia="en-US" w:bidi="ar-SA"/>
        </w:rPr>
        <w:t>3.</w:t>
      </w:r>
      <w:r>
        <w:rPr>
          <w:rFonts w:ascii="Arial" w:hAnsi="Arial"/>
        </w:rPr>
        <w:t>An ASEAN Member State requesting for a waiver, shall make a written submission (hereinafter referred to as the "Submission") to the AFTA Council at least 90 days prior to the date the waiver is to take effect.</w:t>
      </w:r>
    </w:p>
    <w:p w14:paraId="52183CDF">
      <w:pPr>
        <w:numPr>
          <w:ilvl w:val="0"/>
          <w:numId w:val="0"/>
        </w:numPr>
        <w:ind w:left="720" w:leftChars="0" w:hanging="360" w:firstLineChars="0"/>
        <w:rPr>
          <w:rFonts w:ascii="Arial" w:hAnsi="Arial"/>
        </w:rPr>
      </w:pPr>
      <w:r>
        <w:rPr>
          <w:rFonts w:ascii="Arial" w:hAnsi="Arial" w:eastAsia="Calibri" w:cs="Times New Roman"/>
          <w:lang w:val="en-US" w:eastAsia="en-US" w:bidi="ar-SA"/>
        </w:rPr>
        <w:t>4.</w:t>
      </w:r>
      <w:r>
        <w:rPr>
          <w:rFonts w:ascii="Arial" w:hAnsi="Arial"/>
        </w:rPr>
        <w:t>The Submission shall include the following information:</w:t>
      </w:r>
      <w:r>
        <w:rPr>
          <w:rFonts w:hint="eastAsia" w:ascii="Arial" w:hAnsi="Arial"/>
          <w:lang w:val="en-US" w:eastAsia="zh-CN"/>
        </w:rPr>
        <w:t xml:space="preserve"> </w:t>
      </w:r>
      <w:r>
        <w:rPr>
          <w:rFonts w:ascii="Arial" w:hAnsi="Arial"/>
        </w:rPr>
        <w:t>product or list of products with the corresponding tariff nomenclature in ASEAN Harmonised Tariff Nomenclature (AHTN) (hereinafter referred to as the "product in question”);</w:t>
      </w:r>
      <w:r>
        <w:rPr>
          <w:rFonts w:hint="eastAsia" w:ascii="Arial" w:hAnsi="Arial"/>
          <w:lang w:val="en-US" w:eastAsia="zh-CN"/>
        </w:rPr>
        <w:t xml:space="preserve"> </w:t>
      </w:r>
      <w:r>
        <w:rPr>
          <w:rFonts w:ascii="Arial" w:hAnsi="Arial"/>
        </w:rPr>
        <w:t>justification for the request;</w:t>
      </w:r>
      <w:r>
        <w:rPr>
          <w:rFonts w:hint="eastAsia" w:ascii="Arial" w:hAnsi="Arial"/>
          <w:lang w:val="en-US" w:eastAsia="zh-CN"/>
        </w:rPr>
        <w:t xml:space="preserve"> </w:t>
      </w:r>
      <w:r>
        <w:rPr>
          <w:rFonts w:ascii="Arial" w:hAnsi="Arial"/>
        </w:rPr>
        <w:t>latest available 3 year import statistics, by origin, of the product in question; and</w:t>
      </w:r>
      <w:r>
        <w:rPr>
          <w:rFonts w:hint="eastAsia" w:ascii="Arial" w:hAnsi="Arial"/>
          <w:lang w:val="en-US" w:eastAsia="zh-CN"/>
        </w:rPr>
        <w:t xml:space="preserve"> </w:t>
      </w:r>
      <w:r>
        <w:rPr>
          <w:rFonts w:ascii="Arial" w:hAnsi="Arial"/>
        </w:rPr>
        <w:t>indicative modality for tariff reduction.</w:t>
      </w:r>
    </w:p>
    <w:p w14:paraId="06E41580">
      <w:pPr>
        <w:numPr>
          <w:ilvl w:val="0"/>
          <w:numId w:val="0"/>
        </w:numPr>
        <w:ind w:left="720" w:leftChars="0" w:hanging="360" w:firstLineChars="0"/>
        <w:rPr>
          <w:rFonts w:ascii="Arial" w:hAnsi="Arial"/>
        </w:rPr>
      </w:pPr>
      <w:r>
        <w:rPr>
          <w:rFonts w:ascii="Arial" w:hAnsi="Arial" w:eastAsia="Calibri" w:cs="Times New Roman"/>
          <w:lang w:val="en-US" w:eastAsia="en-US" w:bidi="ar-SA"/>
        </w:rPr>
        <w:t>5.</w:t>
      </w:r>
      <w:r>
        <w:rPr>
          <w:rFonts w:ascii="Arial" w:hAnsi="Arial"/>
        </w:rPr>
        <w:t>A copy of the Submission shall be extended immediately by the ASEAN Secretariat to the Senior Officials Meeting (hereinafter referred to as “SEOM”) and to the Coordinating Committee on the Implementation of the CEPT Scheme for AFTA (hereinafter referred to as the "CCCA").</w:t>
      </w:r>
    </w:p>
    <w:p w14:paraId="290A5F43">
      <w:pPr>
        <w:numPr>
          <w:ilvl w:val="0"/>
          <w:numId w:val="0"/>
        </w:numPr>
        <w:ind w:left="720" w:leftChars="0" w:hanging="360" w:firstLineChars="0"/>
        <w:rPr>
          <w:rFonts w:ascii="Arial" w:hAnsi="Arial"/>
        </w:rPr>
      </w:pPr>
      <w:r>
        <w:rPr>
          <w:rFonts w:ascii="Arial" w:hAnsi="Arial" w:eastAsia="Calibri" w:cs="Times New Roman"/>
          <w:lang w:val="en-US" w:eastAsia="en-US" w:bidi="ar-SA"/>
        </w:rPr>
        <w:t>6.</w:t>
      </w:r>
      <w:r>
        <w:rPr>
          <w:rFonts w:ascii="Arial" w:hAnsi="Arial"/>
        </w:rPr>
        <w:t>Unless otherwise directed by the AFTA Council, the request for waiver shall be considered within the CCCA. The CCCA shall submit its report on the outcome of the discussions, including its recommendations in relation to the request for waiver, to SEOM within 30 days from the date of the receipt of the request.</w:t>
      </w:r>
    </w:p>
    <w:p w14:paraId="0DF54C82">
      <w:pPr>
        <w:numPr>
          <w:ilvl w:val="0"/>
          <w:numId w:val="0"/>
        </w:numPr>
        <w:ind w:left="720" w:leftChars="0" w:hanging="360" w:firstLineChars="0"/>
        <w:rPr>
          <w:rFonts w:ascii="Arial" w:hAnsi="Arial"/>
        </w:rPr>
      </w:pPr>
      <w:r>
        <w:rPr>
          <w:rFonts w:ascii="Arial" w:hAnsi="Arial" w:eastAsia="Calibri" w:cs="Times New Roman"/>
          <w:lang w:val="en-US" w:eastAsia="en-US" w:bidi="ar-SA"/>
        </w:rPr>
        <w:t>7.</w:t>
      </w:r>
      <w:r>
        <w:rPr>
          <w:rFonts w:ascii="Arial" w:hAnsi="Arial"/>
        </w:rPr>
        <w:t>The SEOM shall consider the report of the CCCA and forward its own report, including its recommendations, to the AFTA Council, within 30 days from the date of receipt of the report from the CCCA.</w:t>
      </w:r>
    </w:p>
    <w:p w14:paraId="1684CF6D">
      <w:pPr>
        <w:numPr>
          <w:ilvl w:val="0"/>
          <w:numId w:val="0"/>
        </w:numPr>
        <w:ind w:left="720" w:leftChars="0" w:hanging="360" w:firstLineChars="0"/>
        <w:rPr>
          <w:rFonts w:ascii="Arial" w:hAnsi="Arial"/>
        </w:rPr>
      </w:pPr>
      <w:r>
        <w:rPr>
          <w:rFonts w:ascii="Arial" w:hAnsi="Arial" w:eastAsia="Calibri" w:cs="Times New Roman"/>
          <w:lang w:val="en-US" w:eastAsia="en-US" w:bidi="ar-SA"/>
        </w:rPr>
        <w:t>8.</w:t>
      </w:r>
      <w:r>
        <w:rPr>
          <w:rFonts w:ascii="Arial" w:hAnsi="Arial"/>
        </w:rPr>
        <w:t>The AFTA Council shall consider and decide on the request for waiver within a time period not exceeding 30 days from the date of receipt of the report from SEOM. The decision of the AFTA Council granting the waiver shall state the exceptional circumstances justifying such decision, the terms and conditions governing the granting of the waiver, if any, and the time period within which the waiver shall prevail.</w:t>
      </w:r>
    </w:p>
    <w:p w14:paraId="715EA750">
      <w:pPr>
        <w:numPr>
          <w:ilvl w:val="0"/>
          <w:numId w:val="0"/>
        </w:numPr>
        <w:ind w:left="720" w:leftChars="0" w:hanging="360" w:firstLineChars="0"/>
        <w:rPr>
          <w:rFonts w:ascii="Arial" w:hAnsi="Arial"/>
        </w:rPr>
      </w:pPr>
      <w:r>
        <w:rPr>
          <w:rFonts w:ascii="Arial" w:hAnsi="Arial" w:eastAsia="Calibri" w:cs="Times New Roman"/>
          <w:lang w:val="en-US" w:eastAsia="en-US" w:bidi="ar-SA"/>
        </w:rPr>
        <w:t>9.</w:t>
      </w:r>
      <w:r>
        <w:rPr>
          <w:rFonts w:ascii="Arial" w:hAnsi="Arial"/>
        </w:rPr>
        <w:t>An ASEAN Member State, which has been granted a waiver pursuant to Article 3, shall provide adequate opportunity for bilateral consultations with ASEAN Member States having export interests on the product in question so that these interests are taken into account in the implementation of this Protocol.</w:t>
      </w:r>
    </w:p>
    <w:p w14:paraId="57458DE4">
      <w:pPr>
        <w:numPr>
          <w:ilvl w:val="0"/>
          <w:numId w:val="0"/>
        </w:numPr>
        <w:ind w:left="720" w:leftChars="0" w:hanging="360" w:firstLineChars="0"/>
        <w:rPr>
          <w:rFonts w:ascii="Arial" w:hAnsi="Arial"/>
        </w:rPr>
      </w:pPr>
      <w:r>
        <w:rPr>
          <w:rFonts w:ascii="Arial" w:hAnsi="Arial" w:eastAsia="Calibri" w:cs="Times New Roman"/>
          <w:lang w:val="en-US" w:eastAsia="en-US" w:bidi="ar-SA"/>
        </w:rPr>
        <w:t>10.</w:t>
      </w:r>
      <w:r>
        <w:rPr>
          <w:rFonts w:ascii="Arial" w:hAnsi="Arial"/>
        </w:rPr>
        <w:t>Whilst compensatory adjustment measures are not available under this Protocol, such bilateral consultations may include, inter alia, measures aimed at providing continued market access for the product in question and joint economic cooperation activities that would facilitate the eventual restoration of the obligations under the CEPT Agreement and its related Protocols.</w:t>
      </w:r>
    </w:p>
    <w:p w14:paraId="2261459D">
      <w:pPr>
        <w:numPr>
          <w:ilvl w:val="0"/>
          <w:numId w:val="0"/>
        </w:numPr>
        <w:ind w:left="720" w:leftChars="0" w:hanging="360" w:firstLineChars="0"/>
        <w:rPr>
          <w:rFonts w:ascii="Arial" w:hAnsi="Arial"/>
        </w:rPr>
      </w:pPr>
      <w:r>
        <w:rPr>
          <w:rFonts w:ascii="Arial" w:hAnsi="Arial" w:eastAsia="Calibri" w:cs="Times New Roman"/>
          <w:lang w:val="en-US" w:eastAsia="en-US" w:bidi="ar-SA"/>
        </w:rPr>
        <w:t>11.</w:t>
      </w:r>
      <w:r>
        <w:rPr>
          <w:rFonts w:ascii="Arial" w:hAnsi="Arial"/>
        </w:rPr>
        <w:t>Any ASEAN Member State affected by the outcomes of such bilateral consultations may request for bilateral consultations with the ASEAN Member State which has been granted with the waiver.</w:t>
      </w:r>
    </w:p>
    <w:p w14:paraId="21720F8C">
      <w:pPr>
        <w:numPr>
          <w:ilvl w:val="0"/>
          <w:numId w:val="0"/>
        </w:numPr>
        <w:ind w:left="720" w:leftChars="0" w:hanging="360" w:firstLineChars="0"/>
        <w:rPr>
          <w:rFonts w:ascii="Arial" w:hAnsi="Arial"/>
        </w:rPr>
      </w:pPr>
      <w:r>
        <w:rPr>
          <w:rFonts w:ascii="Arial" w:hAnsi="Arial" w:eastAsia="Calibri" w:cs="Times New Roman"/>
          <w:lang w:val="en-US" w:eastAsia="en-US" w:bidi="ar-SA"/>
        </w:rPr>
        <w:t>12.</w:t>
      </w:r>
      <w:r>
        <w:rPr>
          <w:rFonts w:ascii="Arial" w:hAnsi="Arial"/>
        </w:rPr>
        <w:t>The AFTA Council shall, at its annual meeting, review the waiver to determine whether the exceptional circumstances justifying such waiver still exist and whether the terms and conditions attached to the waiver, if any, are being met.</w:t>
      </w:r>
    </w:p>
    <w:p w14:paraId="2FCB3D6F">
      <w:pPr>
        <w:numPr>
          <w:ilvl w:val="0"/>
          <w:numId w:val="0"/>
        </w:numPr>
        <w:ind w:left="720" w:leftChars="0" w:hanging="360" w:firstLineChars="0"/>
        <w:rPr>
          <w:rFonts w:ascii="Arial" w:hAnsi="Arial"/>
        </w:rPr>
      </w:pPr>
      <w:r>
        <w:rPr>
          <w:rFonts w:ascii="Arial" w:hAnsi="Arial" w:eastAsia="Calibri" w:cs="Times New Roman"/>
          <w:lang w:val="en-US" w:eastAsia="en-US" w:bidi="ar-SA"/>
        </w:rPr>
        <w:t>13.</w:t>
      </w:r>
      <w:r>
        <w:rPr>
          <w:rFonts w:ascii="Arial" w:hAnsi="Arial"/>
        </w:rPr>
        <w:t>The ASEAN Member State which has been granted with the waiver shall submit an annual report for review by the AFTA Council.</w:t>
      </w:r>
    </w:p>
    <w:p w14:paraId="2300A16B">
      <w:pPr>
        <w:numPr>
          <w:ilvl w:val="0"/>
          <w:numId w:val="0"/>
        </w:numPr>
        <w:ind w:left="720" w:leftChars="0" w:hanging="360" w:firstLineChars="0"/>
        <w:rPr>
          <w:rFonts w:ascii="Arial" w:hAnsi="Arial"/>
        </w:rPr>
      </w:pPr>
      <w:r>
        <w:rPr>
          <w:rFonts w:ascii="Arial" w:hAnsi="Arial" w:eastAsia="Calibri" w:cs="Times New Roman"/>
          <w:lang w:val="en-US" w:eastAsia="en-US" w:bidi="ar-SA"/>
        </w:rPr>
        <w:t>14.</w:t>
      </w:r>
      <w:r>
        <w:rPr>
          <w:rFonts w:ascii="Arial" w:hAnsi="Arial"/>
        </w:rPr>
        <w:t>Based on the outcome of the annual review, the AFTA Council shall render its decision whether to continue, modify or terminate the waiver.</w:t>
      </w:r>
    </w:p>
    <w:p w14:paraId="4DDB8E51">
      <w:pPr>
        <w:numPr>
          <w:ilvl w:val="0"/>
          <w:numId w:val="0"/>
        </w:numPr>
        <w:ind w:left="720" w:leftChars="0" w:hanging="360" w:firstLineChars="0"/>
        <w:rPr>
          <w:rFonts w:ascii="Arial" w:hAnsi="Arial"/>
        </w:rPr>
      </w:pPr>
      <w:r>
        <w:rPr>
          <w:rFonts w:ascii="Arial" w:hAnsi="Arial" w:eastAsia="Calibri" w:cs="Times New Roman"/>
          <w:lang w:val="en-US" w:eastAsia="en-US" w:bidi="ar-SA"/>
        </w:rPr>
        <w:t>15.</w:t>
      </w:r>
      <w:r>
        <w:rPr>
          <w:rFonts w:ascii="Arial" w:hAnsi="Arial"/>
        </w:rPr>
        <w:t>The Protocol on Enhanced Dispute Settlement Mechanism for ASEAN shall apply in relation to any dispute arising from, or any difference between ASEAN Member States concerning the interpretation or application of this Protocol.</w:t>
      </w:r>
    </w:p>
    <w:p w14:paraId="5524FB89">
      <w:pPr>
        <w:numPr>
          <w:ilvl w:val="0"/>
          <w:numId w:val="0"/>
        </w:numPr>
        <w:ind w:left="720" w:leftChars="0" w:hanging="360" w:firstLineChars="0"/>
        <w:rPr>
          <w:rFonts w:ascii="Arial" w:hAnsi="Arial"/>
        </w:rPr>
      </w:pPr>
      <w:r>
        <w:rPr>
          <w:rFonts w:ascii="Arial" w:hAnsi="Arial" w:eastAsia="Calibri" w:cs="Times New Roman"/>
          <w:lang w:val="en-US" w:eastAsia="en-US" w:bidi="ar-SA"/>
        </w:rPr>
        <w:t>16.</w:t>
      </w:r>
      <w:r>
        <w:rPr>
          <w:rFonts w:ascii="Arial" w:hAnsi="Arial"/>
        </w:rPr>
        <w:t>Any amendment to this Protocol shall be made by consensus and shall become effective upon acceptance by all ASEAN Member States.</w:t>
      </w:r>
    </w:p>
    <w:p w14:paraId="59DCA17E">
      <w:pPr>
        <w:numPr>
          <w:ilvl w:val="0"/>
          <w:numId w:val="0"/>
        </w:numPr>
        <w:ind w:left="720" w:leftChars="0" w:hanging="360" w:firstLineChars="0"/>
        <w:rPr>
          <w:rFonts w:ascii="Arial" w:hAnsi="Arial"/>
        </w:rPr>
      </w:pPr>
      <w:r>
        <w:rPr>
          <w:rFonts w:ascii="Arial" w:hAnsi="Arial" w:eastAsia="Calibri" w:cs="Times New Roman"/>
          <w:lang w:val="en-US" w:eastAsia="en-US" w:bidi="ar-SA"/>
        </w:rPr>
        <w:t>17.</w:t>
      </w:r>
      <w:bookmarkStart w:id="0" w:name="_GoBack"/>
      <w:bookmarkEnd w:id="0"/>
      <w:r>
        <w:rPr>
          <w:rFonts w:ascii="Arial" w:hAnsi="Arial"/>
        </w:rPr>
        <w:t>This Protocol shall enter into force upon signature.</w:t>
      </w:r>
    </w:p>
    <w:p w14:paraId="002C5397">
      <w:pPr>
        <w:numPr>
          <w:ilvl w:val="0"/>
          <w:numId w:val="0"/>
        </w:numPr>
        <w:ind w:left="720" w:leftChars="0" w:hanging="360" w:firstLineChars="0"/>
        <w:rPr>
          <w:rFonts w:ascii="Arial" w:hAnsi="Arial"/>
        </w:rPr>
      </w:pPr>
      <w:r>
        <w:rPr>
          <w:rFonts w:ascii="Arial" w:hAnsi="Arial" w:eastAsia="Calibri" w:cs="Times New Roman"/>
          <w:lang w:val="en-US" w:eastAsia="en-US" w:bidi="ar-SA"/>
        </w:rPr>
        <w:t>18.</w:t>
      </w:r>
      <w:r>
        <w:rPr>
          <w:rFonts w:ascii="Arial" w:hAnsi="Arial"/>
        </w:rPr>
        <w:t>This Protocol shall be deposited with the Secretary-General of ASEAN, who shall promptly furnish a certified copy thereof to each ASEAN Member State.</w:t>
      </w:r>
    </w:p>
    <w:p w14:paraId="21D3C014">
      <w:pPr>
        <w:spacing w:before="120" w:after="0" w:line="240" w:lineRule="auto"/>
        <w:jc w:val="center"/>
      </w:pP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5740B5">
    <w:pPr>
      <w:pStyle w:val="9"/>
      <w:tabs>
        <w:tab w:val="right" w:pos="8931"/>
        <w:tab w:val="clear" w:pos="9360"/>
      </w:tabs>
      <w:jc w:val="right"/>
    </w:pPr>
  </w:p>
  <w:p w14:paraId="295A3C11">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CA39D">
    <w:pPr>
      <w:pStyle w:val="9"/>
      <w:tabs>
        <w:tab w:val="right" w:pos="8931"/>
        <w:tab w:val="clear" w:pos="9360"/>
      </w:tabs>
      <w:jc w:val="right"/>
    </w:pPr>
  </w:p>
  <w:p w14:paraId="270D7243">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D3E81">
    <w:pPr>
      <w:pStyle w:val="10"/>
      <w:pBdr>
        <w:bottom w:val="single" w:color="auto" w:sz="8" w:space="1"/>
      </w:pBdr>
      <w:rPr>
        <w:rFonts w:cs="Arial"/>
        <w:caps/>
        <w:color w:val="808080"/>
        <w:sz w:val="16"/>
        <w:szCs w:val="16"/>
      </w:rPr>
    </w:pPr>
    <w:r>
      <w:rPr>
        <w:rFonts w:cs="Arial"/>
        <w:caps/>
        <w:color w:val="808080"/>
        <w:sz w:val="16"/>
        <w:szCs w:val="16"/>
      </w:rPr>
      <w:t>2007 protocol to provide special consideration for rice and sugar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D9"/>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151"/>
    <w:rsid w:val="001462AA"/>
    <w:rsid w:val="00153722"/>
    <w:rsid w:val="0015683A"/>
    <w:rsid w:val="001648EA"/>
    <w:rsid w:val="001669E3"/>
    <w:rsid w:val="001728AB"/>
    <w:rsid w:val="00172E71"/>
    <w:rsid w:val="00176298"/>
    <w:rsid w:val="0018065C"/>
    <w:rsid w:val="00183009"/>
    <w:rsid w:val="001837BF"/>
    <w:rsid w:val="001864AB"/>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21A8"/>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2E8"/>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62D"/>
    <w:rsid w:val="0084289A"/>
    <w:rsid w:val="0086274F"/>
    <w:rsid w:val="00863AA4"/>
    <w:rsid w:val="00871D6D"/>
    <w:rsid w:val="00875863"/>
    <w:rsid w:val="008761FC"/>
    <w:rsid w:val="008A2C17"/>
    <w:rsid w:val="008A3A39"/>
    <w:rsid w:val="008A5721"/>
    <w:rsid w:val="008B001D"/>
    <w:rsid w:val="008B0875"/>
    <w:rsid w:val="008B1645"/>
    <w:rsid w:val="008B4AD1"/>
    <w:rsid w:val="008C33B3"/>
    <w:rsid w:val="008C3761"/>
    <w:rsid w:val="008C6A9C"/>
    <w:rsid w:val="008D292D"/>
    <w:rsid w:val="008D3F77"/>
    <w:rsid w:val="008E41DC"/>
    <w:rsid w:val="008E6E93"/>
    <w:rsid w:val="008E7703"/>
    <w:rsid w:val="008F5246"/>
    <w:rsid w:val="008F5F21"/>
    <w:rsid w:val="008F7A5C"/>
    <w:rsid w:val="009052CB"/>
    <w:rsid w:val="00916941"/>
    <w:rsid w:val="00916B34"/>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3C8C"/>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26D1"/>
    <w:rsid w:val="00AF5172"/>
    <w:rsid w:val="00AF5D32"/>
    <w:rsid w:val="00AF7003"/>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169C2"/>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6C28"/>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337C"/>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34BB"/>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5D9"/>
    <w:rsid w:val="00FF1A31"/>
    <w:rsid w:val="00FF2F09"/>
    <w:rsid w:val="00FF6E82"/>
    <w:rsid w:val="278F6F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before="0" w:after="0" w:line="240" w:lineRule="auto"/>
    </w:pPr>
  </w:style>
  <w:style w:type="paragraph" w:styleId="10">
    <w:name w:val="header"/>
    <w:basedOn w:val="1"/>
    <w:link w:val="40"/>
    <w:unhideWhenUsed/>
    <w:uiPriority w:val="99"/>
    <w:pPr>
      <w:tabs>
        <w:tab w:val="center" w:pos="4680"/>
        <w:tab w:val="right" w:pos="9360"/>
      </w:tabs>
      <w:spacing w:before="0" w:after="0" w:line="240" w:lineRule="auto"/>
    </w:pPr>
  </w:style>
  <w:style w:type="paragraph" w:styleId="11">
    <w:name w:val="toc 1"/>
    <w:basedOn w:val="1"/>
    <w:next w:val="1"/>
    <w:autoRedefine/>
    <w:unhideWhenUsed/>
    <w:uiPriority w:val="39"/>
    <w:pPr>
      <w:spacing w:before="60" w:after="60"/>
    </w:pPr>
    <w:rPr>
      <w:caps/>
    </w:rPr>
  </w:style>
  <w:style w:type="paragraph" w:styleId="12">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qFormat/>
    <w:uiPriority w:val="9"/>
    <w:rPr>
      <w:rFonts w:ascii="Arial" w:hAnsi="Arial" w:eastAsia="Times New Roman" w:cs="Times New Roman"/>
      <w:b/>
      <w:bCs/>
      <w:caps/>
      <w:sz w:val="28"/>
      <w:szCs w:val="28"/>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qFormat/>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rPr>
      <w:rFonts w:cs="Arial"/>
    </w:rPr>
  </w:style>
  <w:style w:type="paragraph" w:customStyle="1" w:styleId="35">
    <w:name w:val="CIL L2 TOC"/>
    <w:basedOn w:val="15"/>
    <w:autoRedefine/>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5EB6E-30B3-4710-BA34-D39F2F60CC3B}">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2</Pages>
  <Words>1297</Words>
  <Characters>7013</Characters>
  <Lines>62</Lines>
  <Paragraphs>17</Paragraphs>
  <TotalTime>0</TotalTime>
  <ScaleCrop>false</ScaleCrop>
  <LinksUpToDate>false</LinksUpToDate>
  <CharactersWithSpaces>8220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2020-03-23T10:09:00Z</dcterms:created>
  <dc:creator>Muhammad Shahul Hamid Bin Abdul Razak</dc:creator>
  <cp:lastModifiedBy>Patrick</cp:lastModifiedBy>
  <cp:lastPrinted>2017-01-25T14:04:00Z</cp:lastPrinted>
  <dcterms:modified xsi:type="dcterms:W3CDTF">2025-07-28T14:02:28Z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041DE448DD7B4FA284300F713E511C4D_12</vt:lpwstr>
  </property>
</Properties>
</file>